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89" w:rsidRPr="001C3391" w:rsidRDefault="00650789" w:rsidP="00650789">
      <w:pPr>
        <w:tabs>
          <w:tab w:val="left" w:pos="6168"/>
        </w:tabs>
        <w:spacing w:after="0" w:line="240" w:lineRule="auto"/>
        <w:jc w:val="both"/>
        <w:rPr>
          <w:rFonts w:ascii="Times New Roman" w:hAnsi="Times New Roman" w:cs="Times New Roman"/>
          <w:i/>
          <w:lang w:val="ro-RO"/>
        </w:rPr>
      </w:pPr>
      <w:r w:rsidRPr="001C3391">
        <w:rPr>
          <w:rFonts w:ascii="Times New Roman" w:hAnsi="Times New Roman" w:cs="Times New Roman"/>
          <w:i/>
          <w:lang w:val="ro-RO"/>
        </w:rPr>
        <w:t xml:space="preserve">                                   Anexa nr.3</w:t>
      </w:r>
    </w:p>
    <w:p w:rsidR="00650789" w:rsidRPr="001C3391" w:rsidRDefault="00650789" w:rsidP="00650789">
      <w:pPr>
        <w:tabs>
          <w:tab w:val="left" w:pos="6168"/>
        </w:tabs>
        <w:spacing w:after="0" w:line="240" w:lineRule="auto"/>
        <w:jc w:val="both"/>
        <w:rPr>
          <w:rFonts w:ascii="Times New Roman" w:hAnsi="Times New Roman" w:cs="Times New Roman"/>
          <w:i/>
          <w:lang w:val="ro-RO"/>
        </w:rPr>
      </w:pPr>
    </w:p>
    <w:p w:rsidR="00650789" w:rsidRPr="001C3391" w:rsidRDefault="00650789" w:rsidP="00650789">
      <w:pPr>
        <w:tabs>
          <w:tab w:val="left" w:pos="6324"/>
          <w:tab w:val="left" w:pos="6816"/>
        </w:tabs>
        <w:spacing w:after="0" w:line="240" w:lineRule="auto"/>
        <w:ind w:left="360"/>
        <w:jc w:val="right"/>
        <w:rPr>
          <w:rFonts w:ascii="Times New Roman" w:hAnsi="Times New Roman" w:cs="Times New Roman"/>
          <w:i/>
          <w:lang w:val="ro-RO"/>
        </w:rPr>
      </w:pPr>
      <w:r w:rsidRPr="001C3391">
        <w:rPr>
          <w:rFonts w:ascii="Times New Roman" w:hAnsi="Times New Roman" w:cs="Times New Roman"/>
          <w:i/>
          <w:lang w:val="ro-RO"/>
        </w:rPr>
        <w:t xml:space="preserve">                                                                                     La decizia Consiliului orășenesc Orhei</w:t>
      </w:r>
    </w:p>
    <w:p w:rsidR="00650789" w:rsidRPr="001C3391" w:rsidRDefault="000F76B3" w:rsidP="00650789">
      <w:pPr>
        <w:tabs>
          <w:tab w:val="left" w:pos="5904"/>
          <w:tab w:val="left" w:pos="6816"/>
        </w:tabs>
        <w:spacing w:after="0" w:line="240" w:lineRule="auto"/>
        <w:jc w:val="right"/>
        <w:rPr>
          <w:rFonts w:ascii="Times New Roman" w:hAnsi="Times New Roman" w:cs="Times New Roman"/>
          <w:i/>
          <w:lang w:val="ro-RO"/>
        </w:rPr>
      </w:pPr>
      <w:r w:rsidRPr="001C3391">
        <w:rPr>
          <w:rFonts w:ascii="Times New Roman" w:hAnsi="Times New Roman" w:cs="Times New Roman"/>
          <w:i/>
          <w:lang w:val="ro-RO"/>
        </w:rPr>
        <w:tab/>
        <w:t>nr._____din _____</w:t>
      </w:r>
    </w:p>
    <w:p w:rsidR="00650789" w:rsidRPr="001C3391" w:rsidRDefault="00650789" w:rsidP="00650789">
      <w:pPr>
        <w:pStyle w:val="a3"/>
        <w:spacing w:line="240" w:lineRule="auto"/>
        <w:rPr>
          <w:rFonts w:ascii="Times New Roman" w:hAnsi="Times New Roman" w:cs="Times New Roman"/>
          <w:i/>
          <w:lang w:val="ro-RO"/>
        </w:rPr>
      </w:pPr>
    </w:p>
    <w:p w:rsidR="00650789" w:rsidRPr="001C3391" w:rsidRDefault="00650789" w:rsidP="00650789">
      <w:pPr>
        <w:pStyle w:val="a3"/>
        <w:spacing w:line="240" w:lineRule="auto"/>
        <w:jc w:val="center"/>
        <w:rPr>
          <w:rFonts w:ascii="Times New Roman" w:hAnsi="Times New Roman" w:cs="Times New Roman"/>
          <w:b/>
          <w:i/>
          <w:lang w:val="ro-RO"/>
        </w:rPr>
      </w:pPr>
      <w:r w:rsidRPr="001C3391">
        <w:rPr>
          <w:rFonts w:ascii="Times New Roman" w:hAnsi="Times New Roman" w:cs="Times New Roman"/>
          <w:b/>
          <w:i/>
          <w:lang w:val="ro-RO"/>
        </w:rPr>
        <w:t>Cote de majorare sau micșorare în dependență de caracteristici</w:t>
      </w:r>
    </w:p>
    <w:p w:rsidR="00650789" w:rsidRPr="001C3391" w:rsidRDefault="001C3391" w:rsidP="00BC2853">
      <w:pPr>
        <w:spacing w:line="240" w:lineRule="auto"/>
        <w:rPr>
          <w:rFonts w:ascii="Times New Roman" w:hAnsi="Times New Roman" w:cs="Times New Roman"/>
          <w:i/>
          <w:lang w:val="ro-RO"/>
        </w:rPr>
      </w:pPr>
      <w:r w:rsidRPr="001C3391">
        <w:rPr>
          <w:rFonts w:ascii="Times New Roman" w:hAnsi="Times New Roman" w:cs="Times New Roman"/>
          <w:i/>
          <w:lang w:val="ro-RO"/>
        </w:rPr>
        <w:t xml:space="preserve">1. </w:t>
      </w:r>
      <w:r w:rsidR="00650789" w:rsidRPr="001C3391">
        <w:rPr>
          <w:rFonts w:ascii="Times New Roman" w:hAnsi="Times New Roman" w:cs="Times New Roman"/>
          <w:i/>
          <w:lang w:val="ro-RO"/>
        </w:rPr>
        <w:t>Taxa pentru unitățile de comerț și prestări servicii plasate:</w:t>
      </w:r>
    </w:p>
    <w:p w:rsidR="00650789" w:rsidRPr="001C3391" w:rsidRDefault="00650789" w:rsidP="00BC2853">
      <w:pPr>
        <w:spacing w:line="240" w:lineRule="auto"/>
        <w:jc w:val="both"/>
        <w:rPr>
          <w:rFonts w:ascii="Times New Roman" w:hAnsi="Times New Roman" w:cs="Times New Roman"/>
          <w:lang w:val="ro-RO"/>
        </w:rPr>
      </w:pPr>
      <w:r w:rsidRPr="001C3391">
        <w:rPr>
          <w:rFonts w:ascii="Times New Roman" w:hAnsi="Times New Roman" w:cs="Times New Roman"/>
          <w:lang w:val="ro-RO"/>
        </w:rPr>
        <w:t>In centrul orașului, în cadrul străzilor: Chișinăului, C. Stamati, V. Mahu, I. Creangă, M. Costin, V. Lupu, M. Sadoveanu, Orheiul Vechi, C. Negruzzi,  I Mai ,M.Eminescu, Scrisul Latin,  Stefan cel Mare, Piatra Neamt,  Renasterii Nationale, Solom Aleihem, Veronica Micle, Livezilor, Fintinilor,M.Gorkii,Soimarul, C. Negruzzi pina la str.C. Stamate.65 ,87 , V. Lupu pina la str.C. St</w:t>
      </w:r>
      <w:r w:rsidR="001860CB" w:rsidRPr="001C3391">
        <w:rPr>
          <w:rFonts w:ascii="Times New Roman" w:hAnsi="Times New Roman" w:cs="Times New Roman"/>
          <w:lang w:val="ro-RO"/>
        </w:rPr>
        <w:t xml:space="preserve">amate nr.141,154 str.V.Mahu de </w:t>
      </w:r>
      <w:r w:rsidRPr="001C3391">
        <w:rPr>
          <w:rFonts w:ascii="Times New Roman" w:hAnsi="Times New Roman" w:cs="Times New Roman"/>
          <w:lang w:val="ro-RO"/>
        </w:rPr>
        <w:t xml:space="preserve"> la nr.87,114.</w:t>
      </w:r>
    </w:p>
    <w:p w:rsidR="00650789" w:rsidRPr="001C3391" w:rsidRDefault="00650789" w:rsidP="00BC2853">
      <w:pPr>
        <w:spacing w:line="240" w:lineRule="auto"/>
        <w:jc w:val="both"/>
        <w:rPr>
          <w:rFonts w:ascii="Times New Roman" w:hAnsi="Times New Roman" w:cs="Times New Roman"/>
          <w:lang w:val="ro-RO"/>
        </w:rPr>
      </w:pPr>
      <w:r w:rsidRPr="001C3391">
        <w:rPr>
          <w:rFonts w:ascii="Times New Roman" w:hAnsi="Times New Roman" w:cs="Times New Roman"/>
          <w:lang w:val="ro-RO"/>
        </w:rPr>
        <w:t xml:space="preserve">  taxa se majorează cu 40%.</w:t>
      </w:r>
    </w:p>
    <w:p w:rsidR="00650789" w:rsidRPr="001C3391" w:rsidRDefault="00650789" w:rsidP="00BC2853">
      <w:pPr>
        <w:spacing w:after="0" w:line="240" w:lineRule="auto"/>
        <w:jc w:val="both"/>
        <w:rPr>
          <w:rFonts w:ascii="Times New Roman" w:hAnsi="Times New Roman" w:cs="Times New Roman"/>
          <w:lang w:val="ro-RO"/>
        </w:rPr>
      </w:pPr>
      <w:r w:rsidRPr="001C3391">
        <w:rPr>
          <w:rFonts w:ascii="Times New Roman" w:hAnsi="Times New Roman" w:cs="Times New Roman"/>
          <w:lang w:val="ro-RO"/>
        </w:rPr>
        <w:t>In centrele de cartiere:</w:t>
      </w:r>
    </w:p>
    <w:p w:rsidR="00650789" w:rsidRPr="001C3391" w:rsidRDefault="00650789" w:rsidP="00650789">
      <w:pPr>
        <w:spacing w:after="0" w:line="240" w:lineRule="auto"/>
        <w:ind w:left="426"/>
        <w:jc w:val="both"/>
        <w:rPr>
          <w:rFonts w:ascii="Times New Roman" w:hAnsi="Times New Roman" w:cs="Times New Roman"/>
          <w:lang w:val="ro-RO"/>
        </w:rPr>
      </w:pPr>
    </w:p>
    <w:p w:rsidR="00650789" w:rsidRPr="001C3391" w:rsidRDefault="00650789" w:rsidP="001C3391">
      <w:pPr>
        <w:spacing w:after="0" w:line="240" w:lineRule="auto"/>
        <w:jc w:val="both"/>
        <w:rPr>
          <w:rFonts w:ascii="Times New Roman" w:hAnsi="Times New Roman" w:cs="Times New Roman"/>
          <w:lang w:val="ro-RO"/>
        </w:rPr>
      </w:pPr>
      <w:r w:rsidRPr="001C3391">
        <w:rPr>
          <w:rFonts w:ascii="Times New Roman" w:hAnsi="Times New Roman" w:cs="Times New Roman"/>
          <w:lang w:val="ro-RO"/>
        </w:rPr>
        <w:t>Nordic – str. C. Negruzzi de la intersecția cu str. C. Stamati pînă la str. B. Glavan: str. B. Glavan de la intersecția cu str. Negruzzi pînă la str. Iakir și str.Iakir.</w:t>
      </w:r>
    </w:p>
    <w:p w:rsidR="00650789" w:rsidRPr="001C3391" w:rsidRDefault="00650789" w:rsidP="00650789">
      <w:pPr>
        <w:spacing w:after="0" w:line="240" w:lineRule="auto"/>
        <w:ind w:left="360"/>
        <w:jc w:val="both"/>
        <w:rPr>
          <w:rFonts w:ascii="Times New Roman" w:hAnsi="Times New Roman" w:cs="Times New Roman"/>
          <w:lang w:val="ro-RO"/>
        </w:rPr>
      </w:pPr>
    </w:p>
    <w:p w:rsidR="00650789" w:rsidRPr="001C3391" w:rsidRDefault="00650789" w:rsidP="001C3391">
      <w:pPr>
        <w:spacing w:after="0" w:line="240" w:lineRule="auto"/>
        <w:jc w:val="both"/>
        <w:rPr>
          <w:rFonts w:ascii="Times New Roman" w:hAnsi="Times New Roman" w:cs="Times New Roman"/>
          <w:lang w:val="ro-RO"/>
        </w:rPr>
      </w:pPr>
      <w:r w:rsidRPr="001C3391">
        <w:rPr>
          <w:rFonts w:ascii="Times New Roman" w:hAnsi="Times New Roman" w:cs="Times New Roman"/>
          <w:lang w:val="ro-RO"/>
        </w:rPr>
        <w:t>C.Negruzzi de la nr. 66 si 89cu intersectia str.C. .Stamate pina la nr. 117 cu intersectia str. B. Glavan.B.Glavan de la nr.cu intersectia str.C. Negruzzi pina la nr.11 cu intersectia str. Iakir, V.Lupu de la 149</w:t>
      </w:r>
      <w:r w:rsidR="001860CB" w:rsidRPr="001C3391">
        <w:rPr>
          <w:rFonts w:ascii="Times New Roman" w:hAnsi="Times New Roman" w:cs="Times New Roman"/>
          <w:lang w:val="ro-RO"/>
        </w:rPr>
        <w:t>,156, str, V. Mahu   pînă</w:t>
      </w:r>
      <w:r w:rsidR="000F76B3" w:rsidRPr="001C3391">
        <w:rPr>
          <w:rFonts w:ascii="Times New Roman" w:hAnsi="Times New Roman" w:cs="Times New Roman"/>
          <w:lang w:val="ro-RO"/>
        </w:rPr>
        <w:t xml:space="preserve"> la nr.88,115,</w:t>
      </w:r>
      <w:r w:rsidRPr="001C3391">
        <w:rPr>
          <w:rFonts w:ascii="Times New Roman" w:hAnsi="Times New Roman" w:cs="Times New Roman"/>
          <w:lang w:val="ro-RO"/>
        </w:rPr>
        <w:t xml:space="preserve">  </w:t>
      </w:r>
      <w:r w:rsidR="001860CB" w:rsidRPr="001C3391">
        <w:rPr>
          <w:rFonts w:ascii="Times New Roman" w:hAnsi="Times New Roman" w:cs="Times New Roman"/>
          <w:lang w:val="ro-RO"/>
        </w:rPr>
        <w:t>str.Dorobanț</w:t>
      </w:r>
      <w:r w:rsidR="00EC57F1" w:rsidRPr="001C3391">
        <w:rPr>
          <w:rFonts w:ascii="Times New Roman" w:hAnsi="Times New Roman" w:cs="Times New Roman"/>
          <w:lang w:val="ro-RO"/>
        </w:rPr>
        <w:t>i</w:t>
      </w:r>
      <w:r w:rsidRPr="001C3391">
        <w:rPr>
          <w:rFonts w:ascii="Times New Roman" w:hAnsi="Times New Roman" w:cs="Times New Roman"/>
          <w:lang w:val="ro-RO"/>
        </w:rPr>
        <w:t xml:space="preserve">                                                                                                                    </w:t>
      </w:r>
    </w:p>
    <w:p w:rsidR="00650789" w:rsidRPr="001C3391" w:rsidRDefault="00650789" w:rsidP="00650789">
      <w:pPr>
        <w:spacing w:after="0" w:line="240" w:lineRule="auto"/>
        <w:ind w:left="360"/>
        <w:jc w:val="both"/>
        <w:rPr>
          <w:rFonts w:ascii="Times New Roman" w:hAnsi="Times New Roman" w:cs="Times New Roman"/>
          <w:lang w:val="ro-RO"/>
        </w:rPr>
      </w:pPr>
    </w:p>
    <w:p w:rsidR="00650789" w:rsidRPr="001C3391" w:rsidRDefault="00650789" w:rsidP="001C3391">
      <w:pPr>
        <w:spacing w:after="0" w:line="240" w:lineRule="auto"/>
        <w:jc w:val="both"/>
        <w:rPr>
          <w:rFonts w:ascii="Times New Roman" w:hAnsi="Times New Roman" w:cs="Times New Roman"/>
          <w:lang w:val="ro-RO"/>
        </w:rPr>
      </w:pPr>
      <w:r w:rsidRPr="001C3391">
        <w:rPr>
          <w:rFonts w:ascii="Times New Roman" w:hAnsi="Times New Roman" w:cs="Times New Roman"/>
          <w:lang w:val="ro-RO"/>
        </w:rPr>
        <w:t>Lupoaica – str.Eliberării, S. Lazo  pînă la str. B. P. Hajdeu, Stejarilor.</w:t>
      </w:r>
    </w:p>
    <w:p w:rsidR="00650789" w:rsidRPr="001C3391" w:rsidRDefault="00650789" w:rsidP="00650789">
      <w:pPr>
        <w:spacing w:after="0" w:line="240" w:lineRule="auto"/>
        <w:ind w:left="426"/>
        <w:jc w:val="both"/>
        <w:rPr>
          <w:rFonts w:ascii="Times New Roman" w:hAnsi="Times New Roman" w:cs="Times New Roman"/>
          <w:lang w:val="ro-RO"/>
        </w:rPr>
      </w:pPr>
    </w:p>
    <w:p w:rsidR="00650789" w:rsidRPr="001C3391" w:rsidRDefault="00650789" w:rsidP="001C3391">
      <w:pPr>
        <w:spacing w:after="0" w:line="240" w:lineRule="auto"/>
        <w:jc w:val="both"/>
        <w:rPr>
          <w:rFonts w:ascii="Times New Roman" w:hAnsi="Times New Roman" w:cs="Times New Roman"/>
          <w:lang w:val="ro-RO"/>
        </w:rPr>
      </w:pPr>
      <w:r w:rsidRPr="001C3391">
        <w:rPr>
          <w:rFonts w:ascii="Times New Roman" w:hAnsi="Times New Roman" w:cs="Times New Roman"/>
          <w:lang w:val="ro-RO"/>
        </w:rPr>
        <w:t>Bucuria – str. Unirii,   Slobozia- Doamnei- str.31 August,  str. Nistreană.</w:t>
      </w:r>
    </w:p>
    <w:p w:rsidR="00650789" w:rsidRPr="001C3391" w:rsidRDefault="00650789" w:rsidP="00650789">
      <w:pPr>
        <w:spacing w:after="0" w:line="240" w:lineRule="auto"/>
        <w:ind w:left="426"/>
        <w:rPr>
          <w:rFonts w:ascii="Times New Roman" w:hAnsi="Times New Roman" w:cs="Times New Roman"/>
          <w:lang w:val="ro-RO"/>
        </w:rPr>
      </w:pPr>
    </w:p>
    <w:p w:rsidR="00650789" w:rsidRPr="001C3391" w:rsidRDefault="001C3391" w:rsidP="001C3391">
      <w:pPr>
        <w:spacing w:after="0" w:line="240" w:lineRule="auto"/>
        <w:rPr>
          <w:rFonts w:ascii="Times New Roman" w:hAnsi="Times New Roman" w:cs="Times New Roman"/>
          <w:lang w:val="ro-RO"/>
        </w:rPr>
      </w:pPr>
      <w:r w:rsidRPr="001C3391">
        <w:rPr>
          <w:rFonts w:ascii="Times New Roman" w:hAnsi="Times New Roman" w:cs="Times New Roman"/>
          <w:lang w:val="ro-RO"/>
        </w:rPr>
        <w:t xml:space="preserve">-- </w:t>
      </w:r>
      <w:r w:rsidR="00650789" w:rsidRPr="001C3391">
        <w:rPr>
          <w:rFonts w:ascii="Times New Roman" w:hAnsi="Times New Roman" w:cs="Times New Roman"/>
          <w:lang w:val="ro-RO"/>
        </w:rPr>
        <w:t>taxa se majorează cu 20%</w:t>
      </w:r>
    </w:p>
    <w:p w:rsidR="00650789" w:rsidRPr="001C3391" w:rsidRDefault="00650789" w:rsidP="00650789">
      <w:pPr>
        <w:spacing w:after="0" w:line="240" w:lineRule="auto"/>
        <w:ind w:left="360"/>
        <w:rPr>
          <w:rFonts w:ascii="Times New Roman" w:hAnsi="Times New Roman" w:cs="Times New Roman"/>
          <w:lang w:val="ro-RO"/>
        </w:rPr>
      </w:pPr>
    </w:p>
    <w:p w:rsidR="00650789" w:rsidRPr="001C3391" w:rsidRDefault="00650789" w:rsidP="001C3391">
      <w:pPr>
        <w:spacing w:after="0" w:line="360" w:lineRule="auto"/>
        <w:rPr>
          <w:rFonts w:ascii="Times New Roman" w:hAnsi="Times New Roman" w:cs="Times New Roman"/>
          <w:lang w:val="ro-RO"/>
        </w:rPr>
      </w:pPr>
      <w:r w:rsidRPr="001C3391">
        <w:rPr>
          <w:rFonts w:ascii="Times New Roman" w:hAnsi="Times New Roman" w:cs="Times New Roman"/>
          <w:lang w:val="ro-RO"/>
        </w:rPr>
        <w:t xml:space="preserve">2.  </w:t>
      </w:r>
      <w:r w:rsidR="008D2AB6" w:rsidRPr="001C3391">
        <w:rPr>
          <w:rFonts w:ascii="Times New Roman" w:hAnsi="Times New Roman" w:cs="Times New Roman"/>
          <w:lang w:val="ro-RO"/>
        </w:rPr>
        <w:t xml:space="preserve">Pentru comercializarea articolelor </w:t>
      </w:r>
      <w:r w:rsidR="00AB30A5" w:rsidRPr="001C3391">
        <w:rPr>
          <w:rFonts w:ascii="Times New Roman" w:hAnsi="Times New Roman" w:cs="Times New Roman"/>
          <w:lang w:val="ro-RO"/>
        </w:rPr>
        <w:t>din tutun taxa se majorează cu  5</w:t>
      </w:r>
      <w:r w:rsidR="008D2AB6" w:rsidRPr="001C3391">
        <w:rPr>
          <w:rFonts w:ascii="Times New Roman" w:hAnsi="Times New Roman" w:cs="Times New Roman"/>
          <w:lang w:val="ro-RO"/>
        </w:rPr>
        <w:t xml:space="preserve">00%, </w:t>
      </w:r>
      <w:r w:rsidR="001B5EF9" w:rsidRPr="001C3391">
        <w:rPr>
          <w:rFonts w:ascii="Times New Roman" w:hAnsi="Times New Roman" w:cs="Times New Roman"/>
          <w:lang w:val="ro-RO"/>
        </w:rPr>
        <w:t xml:space="preserve"> </w:t>
      </w:r>
      <w:r w:rsidR="008C7657" w:rsidRPr="001C3391">
        <w:rPr>
          <w:rFonts w:ascii="Times New Roman" w:hAnsi="Times New Roman" w:cs="Times New Roman"/>
          <w:lang w:val="ro-RO"/>
        </w:rPr>
        <w:t xml:space="preserve">pentru comercializarea băuturilor alcoolice  taxa se majorează cu 100%. </w:t>
      </w:r>
      <w:r w:rsidR="001B5EF9" w:rsidRPr="001C3391">
        <w:rPr>
          <w:rFonts w:ascii="Times New Roman" w:hAnsi="Times New Roman" w:cs="Times New Roman"/>
          <w:lang w:val="ro-RO"/>
        </w:rPr>
        <w:t xml:space="preserve"> </w:t>
      </w:r>
      <w:r w:rsidR="008C7657" w:rsidRPr="001C3391">
        <w:rPr>
          <w:rFonts w:ascii="Times New Roman" w:hAnsi="Times New Roman" w:cs="Times New Roman"/>
          <w:lang w:val="ro-RO"/>
        </w:rPr>
        <w:t>În cazul în care se comercializează</w:t>
      </w:r>
      <w:r w:rsidR="008D2AB6" w:rsidRPr="001C3391">
        <w:rPr>
          <w:rFonts w:ascii="Times New Roman" w:hAnsi="Times New Roman" w:cs="Times New Roman"/>
          <w:lang w:val="ro-RO"/>
        </w:rPr>
        <w:t xml:space="preserve"> băuturilor alcoolice și/sau articolelor din tutun, t</w:t>
      </w:r>
      <w:r w:rsidR="00AB30A5" w:rsidRPr="001C3391">
        <w:rPr>
          <w:rFonts w:ascii="Times New Roman" w:hAnsi="Times New Roman" w:cs="Times New Roman"/>
          <w:lang w:val="ro-RO"/>
        </w:rPr>
        <w:t>axa se majorează cu 7</w:t>
      </w:r>
      <w:r w:rsidR="008D2AB6" w:rsidRPr="001C3391">
        <w:rPr>
          <w:rFonts w:ascii="Times New Roman" w:hAnsi="Times New Roman" w:cs="Times New Roman"/>
          <w:lang w:val="ro-RO"/>
        </w:rPr>
        <w:t xml:space="preserve">00 % </w:t>
      </w:r>
    </w:p>
    <w:p w:rsidR="00650789" w:rsidRPr="001C3391" w:rsidRDefault="00650789" w:rsidP="00650789">
      <w:pPr>
        <w:spacing w:after="0" w:line="240" w:lineRule="auto"/>
        <w:ind w:left="360"/>
        <w:jc w:val="both"/>
        <w:rPr>
          <w:rFonts w:ascii="Times New Roman" w:hAnsi="Times New Roman" w:cs="Times New Roman"/>
          <w:lang w:val="ro-RO"/>
        </w:rPr>
      </w:pPr>
    </w:p>
    <w:p w:rsidR="00650789" w:rsidRPr="001C3391" w:rsidRDefault="00650789" w:rsidP="001C3391">
      <w:pPr>
        <w:spacing w:after="0" w:line="240" w:lineRule="auto"/>
        <w:jc w:val="both"/>
        <w:rPr>
          <w:rFonts w:ascii="Times New Roman" w:hAnsi="Times New Roman" w:cs="Times New Roman"/>
          <w:lang w:val="ro-RO"/>
        </w:rPr>
      </w:pPr>
      <w:r w:rsidRPr="001C3391">
        <w:rPr>
          <w:rFonts w:ascii="Times New Roman" w:hAnsi="Times New Roman" w:cs="Times New Roman"/>
          <w:lang w:val="ro-RO"/>
        </w:rPr>
        <w:t>3. În cazul aprobării activității obiectului în regimul ,,non-stop” taxa se majorează cu 50 la sută.</w:t>
      </w:r>
    </w:p>
    <w:p w:rsidR="00650789" w:rsidRPr="001C3391" w:rsidRDefault="00650789" w:rsidP="00650789">
      <w:pPr>
        <w:spacing w:after="0" w:line="240" w:lineRule="auto"/>
        <w:ind w:left="360"/>
        <w:jc w:val="both"/>
        <w:rPr>
          <w:rFonts w:ascii="Times New Roman" w:hAnsi="Times New Roman" w:cs="Times New Roman"/>
          <w:i/>
          <w:lang w:val="ro-RO"/>
        </w:rPr>
      </w:pPr>
    </w:p>
    <w:p w:rsidR="00650789" w:rsidRPr="001C3391" w:rsidRDefault="00650789" w:rsidP="001C3391">
      <w:pPr>
        <w:spacing w:after="0" w:line="240" w:lineRule="auto"/>
        <w:jc w:val="both"/>
        <w:rPr>
          <w:rFonts w:ascii="Times New Roman" w:hAnsi="Times New Roman" w:cs="Times New Roman"/>
          <w:lang w:val="ro-RO"/>
        </w:rPr>
      </w:pPr>
      <w:r w:rsidRPr="001C3391">
        <w:rPr>
          <w:rFonts w:ascii="Times New Roman" w:hAnsi="Times New Roman" w:cs="Times New Roman"/>
          <w:lang w:val="ro-RO"/>
        </w:rPr>
        <w:t>4.   Pentru unitățile de comerț de mărfuri farmaceutice</w:t>
      </w:r>
      <w:r w:rsidR="008C7657" w:rsidRPr="001C3391">
        <w:rPr>
          <w:rFonts w:ascii="Times New Roman" w:hAnsi="Times New Roman" w:cs="Times New Roman"/>
          <w:lang w:val="ro-RO"/>
        </w:rPr>
        <w:t xml:space="preserve"> și comerțul cu amănuntul efectuat  prin standuri,</w:t>
      </w:r>
      <w:r w:rsidR="001B5EF9" w:rsidRPr="001C3391">
        <w:rPr>
          <w:rFonts w:ascii="Times New Roman" w:hAnsi="Times New Roman" w:cs="Times New Roman"/>
          <w:lang w:val="ro-RO"/>
        </w:rPr>
        <w:t xml:space="preserve"> </w:t>
      </w:r>
      <w:r w:rsidR="008C7657" w:rsidRPr="001C3391">
        <w:rPr>
          <w:rFonts w:ascii="Times New Roman" w:hAnsi="Times New Roman" w:cs="Times New Roman"/>
          <w:lang w:val="ro-RO"/>
        </w:rPr>
        <w:t>chioșcuti,</w:t>
      </w:r>
      <w:r w:rsidR="001B5EF9" w:rsidRPr="001C3391">
        <w:rPr>
          <w:rFonts w:ascii="Times New Roman" w:hAnsi="Times New Roman" w:cs="Times New Roman"/>
          <w:lang w:val="ro-RO"/>
        </w:rPr>
        <w:t xml:space="preserve"> </w:t>
      </w:r>
      <w:r w:rsidR="008C7657" w:rsidRPr="001C3391">
        <w:rPr>
          <w:rFonts w:ascii="Times New Roman" w:hAnsi="Times New Roman" w:cs="Times New Roman"/>
          <w:lang w:val="ro-RO"/>
        </w:rPr>
        <w:t>pavilioane,</w:t>
      </w:r>
      <w:r w:rsidR="001B5EF9" w:rsidRPr="001C3391">
        <w:rPr>
          <w:rFonts w:ascii="Times New Roman" w:hAnsi="Times New Roman" w:cs="Times New Roman"/>
          <w:lang w:val="ro-RO"/>
        </w:rPr>
        <w:t xml:space="preserve"> </w:t>
      </w:r>
      <w:r w:rsidR="008C7657" w:rsidRPr="001C3391">
        <w:rPr>
          <w:rFonts w:ascii="Times New Roman" w:hAnsi="Times New Roman" w:cs="Times New Roman"/>
          <w:lang w:val="ro-RO"/>
        </w:rPr>
        <w:t xml:space="preserve">unități </w:t>
      </w:r>
      <w:r w:rsidR="001B5EF9" w:rsidRPr="001C3391">
        <w:rPr>
          <w:rFonts w:ascii="Times New Roman" w:hAnsi="Times New Roman" w:cs="Times New Roman"/>
          <w:lang w:val="ro-RO"/>
        </w:rPr>
        <w:t xml:space="preserve"> </w:t>
      </w:r>
      <w:r w:rsidR="008C7657" w:rsidRPr="001C3391">
        <w:rPr>
          <w:rFonts w:ascii="Times New Roman" w:hAnsi="Times New Roman" w:cs="Times New Roman"/>
          <w:lang w:val="ro-RO"/>
        </w:rPr>
        <w:t>mobile a produselor alimentare,textilelor,îmbrăcămintei și încălțămintei</w:t>
      </w:r>
      <w:r w:rsidRPr="001C3391">
        <w:rPr>
          <w:rFonts w:ascii="Times New Roman" w:hAnsi="Times New Roman" w:cs="Times New Roman"/>
          <w:lang w:val="ro-RO"/>
        </w:rPr>
        <w:t xml:space="preserve"> care sînt plasate în cartierele  Nordic, Bucuria, Lupoaica, Slobozia-Doamnei taxa se micșorează cu 50% </w:t>
      </w:r>
    </w:p>
    <w:p w:rsidR="00650789" w:rsidRPr="001C3391" w:rsidRDefault="00650789" w:rsidP="00650789">
      <w:pPr>
        <w:spacing w:line="240" w:lineRule="auto"/>
        <w:ind w:left="360"/>
        <w:jc w:val="both"/>
        <w:rPr>
          <w:rFonts w:ascii="Times New Roman" w:hAnsi="Times New Roman" w:cs="Times New Roman"/>
          <w:lang w:val="ro-RO"/>
        </w:rPr>
      </w:pPr>
    </w:p>
    <w:p w:rsidR="00650789" w:rsidRPr="001C3391" w:rsidRDefault="00650789" w:rsidP="001C3391">
      <w:pPr>
        <w:spacing w:line="240" w:lineRule="auto"/>
        <w:jc w:val="both"/>
        <w:rPr>
          <w:rFonts w:ascii="Times New Roman" w:hAnsi="Times New Roman" w:cs="Times New Roman"/>
          <w:lang w:val="ro-RO"/>
        </w:rPr>
      </w:pPr>
      <w:r w:rsidRPr="001C3391">
        <w:rPr>
          <w:rFonts w:ascii="Times New Roman" w:hAnsi="Times New Roman" w:cs="Times New Roman"/>
          <w:lang w:val="ro-RO"/>
        </w:rPr>
        <w:t>5.  Pentru comerțul cu amănuntul efectuat prin standuri,</w:t>
      </w:r>
      <w:r w:rsidR="001B5EF9" w:rsidRPr="001C3391">
        <w:rPr>
          <w:rFonts w:ascii="Times New Roman" w:hAnsi="Times New Roman" w:cs="Times New Roman"/>
          <w:lang w:val="ro-RO"/>
        </w:rPr>
        <w:t xml:space="preserve"> </w:t>
      </w:r>
      <w:r w:rsidRPr="001C3391">
        <w:rPr>
          <w:rFonts w:ascii="Times New Roman" w:hAnsi="Times New Roman" w:cs="Times New Roman"/>
          <w:lang w:val="ro-RO"/>
        </w:rPr>
        <w:t>chioșcuri, pavilioane și unități mobile</w:t>
      </w:r>
      <w:r w:rsidR="000F76B3" w:rsidRPr="001C3391">
        <w:rPr>
          <w:rFonts w:ascii="Times New Roman" w:hAnsi="Times New Roman" w:cs="Times New Roman"/>
          <w:lang w:val="ro-RO"/>
        </w:rPr>
        <w:t xml:space="preserve"> care comercializează articole</w:t>
      </w:r>
      <w:r w:rsidR="00AB30A5" w:rsidRPr="001C3391">
        <w:rPr>
          <w:rFonts w:ascii="Times New Roman" w:hAnsi="Times New Roman" w:cs="Times New Roman"/>
          <w:lang w:val="ro-RO"/>
        </w:rPr>
        <w:t xml:space="preserve"> din tutun</w:t>
      </w:r>
      <w:r w:rsidR="000F76B3" w:rsidRPr="001C3391">
        <w:rPr>
          <w:rFonts w:ascii="Times New Roman" w:hAnsi="Times New Roman" w:cs="Times New Roman"/>
          <w:lang w:val="ro-RO"/>
        </w:rPr>
        <w:t xml:space="preserve"> și băuturi alcoolice </w:t>
      </w:r>
      <w:r w:rsidR="00CA11D0" w:rsidRPr="001C3391">
        <w:rPr>
          <w:rFonts w:ascii="Times New Roman" w:hAnsi="Times New Roman" w:cs="Times New Roman"/>
          <w:lang w:val="ro-RO"/>
        </w:rPr>
        <w:t>taxa se majorează</w:t>
      </w:r>
      <w:r w:rsidRPr="001C3391">
        <w:rPr>
          <w:rFonts w:ascii="Times New Roman" w:hAnsi="Times New Roman" w:cs="Times New Roman"/>
          <w:lang w:val="ro-RO"/>
        </w:rPr>
        <w:t xml:space="preserve"> </w:t>
      </w:r>
      <w:r w:rsidR="000F76B3" w:rsidRPr="001C3391">
        <w:rPr>
          <w:rFonts w:ascii="Times New Roman" w:hAnsi="Times New Roman" w:cs="Times New Roman"/>
          <w:lang w:val="ro-RO"/>
        </w:rPr>
        <w:t xml:space="preserve"> cu 50%  și nu </w:t>
      </w:r>
      <w:r w:rsidRPr="001C3391">
        <w:rPr>
          <w:rFonts w:ascii="Times New Roman" w:hAnsi="Times New Roman" w:cs="Times New Roman"/>
          <w:lang w:val="ro-RO"/>
        </w:rPr>
        <w:t>se a</w:t>
      </w:r>
      <w:r w:rsidR="00AB30A5" w:rsidRPr="001C3391">
        <w:rPr>
          <w:rFonts w:ascii="Times New Roman" w:hAnsi="Times New Roman" w:cs="Times New Roman"/>
          <w:lang w:val="ro-RO"/>
        </w:rPr>
        <w:t>plică prevederile pct.1</w:t>
      </w:r>
      <w:r w:rsidRPr="001C3391">
        <w:rPr>
          <w:rFonts w:ascii="Times New Roman" w:hAnsi="Times New Roman" w:cs="Times New Roman"/>
          <w:lang w:val="ro-RO"/>
        </w:rPr>
        <w:t xml:space="preserve"> din prezenta anexă.</w:t>
      </w:r>
    </w:p>
    <w:p w:rsidR="00650789" w:rsidRPr="001C3391" w:rsidRDefault="00650789" w:rsidP="001C3391">
      <w:pPr>
        <w:spacing w:line="240" w:lineRule="auto"/>
        <w:jc w:val="both"/>
        <w:rPr>
          <w:rFonts w:ascii="Times New Roman" w:hAnsi="Times New Roman" w:cs="Times New Roman"/>
          <w:lang w:val="ro-RO"/>
        </w:rPr>
      </w:pPr>
      <w:r w:rsidRPr="001C3391">
        <w:rPr>
          <w:rFonts w:ascii="Times New Roman" w:hAnsi="Times New Roman" w:cs="Times New Roman"/>
          <w:lang w:val="ro-RO"/>
        </w:rPr>
        <w:t xml:space="preserve"> 6. Pentru comerțul cu amănuntul efectuat prin standuri,chioșcuri pavilioane, unități mobile care comercializează în exclusivitate pîine și produse de panificație taxa se micșorează cu 50% </w:t>
      </w:r>
    </w:p>
    <w:p w:rsidR="001C3391" w:rsidRPr="001C3391" w:rsidRDefault="00650789" w:rsidP="001C3391">
      <w:pPr>
        <w:spacing w:line="240" w:lineRule="auto"/>
        <w:jc w:val="both"/>
        <w:rPr>
          <w:rFonts w:ascii="Times New Roman" w:hAnsi="Times New Roman" w:cs="Times New Roman"/>
          <w:lang w:val="ro-RO"/>
        </w:rPr>
      </w:pPr>
      <w:r w:rsidRPr="001C3391">
        <w:rPr>
          <w:rFonts w:ascii="Times New Roman" w:hAnsi="Times New Roman" w:cs="Times New Roman"/>
          <w:lang w:val="ro-RO"/>
        </w:rPr>
        <w:t xml:space="preserve">7. Se micșorează taxa de piață cu 100% pentru suprafața terenului pe care este amplasat imobilul pentru care se calculează și se achită taxa de piață.             </w:t>
      </w:r>
    </w:p>
    <w:p w:rsidR="001C3391" w:rsidRDefault="001C3391" w:rsidP="001C3391">
      <w:pPr>
        <w:spacing w:line="240" w:lineRule="auto"/>
        <w:jc w:val="both"/>
        <w:rPr>
          <w:rFonts w:ascii="Times New Roman" w:hAnsi="Times New Roman" w:cs="Times New Roman"/>
          <w:lang w:val="ro-RO"/>
        </w:rPr>
      </w:pPr>
      <w:r w:rsidRPr="001C3391">
        <w:rPr>
          <w:rFonts w:ascii="Times New Roman" w:hAnsi="Times New Roman" w:cs="Times New Roman"/>
          <w:lang w:val="ro-RO"/>
        </w:rPr>
        <w:t xml:space="preserve"> 8. </w:t>
      </w:r>
      <w:r w:rsidR="000F76B3" w:rsidRPr="001C3391">
        <w:rPr>
          <w:rFonts w:ascii="Times New Roman" w:hAnsi="Times New Roman" w:cs="Times New Roman"/>
          <w:lang w:val="ro-RO"/>
        </w:rPr>
        <w:t>Prin deroga</w:t>
      </w:r>
      <w:r w:rsidR="00AB0A5A" w:rsidRPr="001C3391">
        <w:rPr>
          <w:rFonts w:ascii="Times New Roman" w:hAnsi="Times New Roman" w:cs="Times New Roman"/>
          <w:lang w:val="ro-RO"/>
        </w:rPr>
        <w:t>re de la pct. 33 din anexa nr. 2 la decizie, în cazul în care administratorii unităților comerciale și de prestări servicii au încheat contract pentru arenda locului de comerț în piețele autorizate taxa se stabilește potrivit pct.1-59 din anexa nr.2 la decizie în dependență de genul de activitate.</w:t>
      </w:r>
      <w:r w:rsidR="00650789" w:rsidRPr="001C3391">
        <w:rPr>
          <w:rFonts w:ascii="Times New Roman" w:hAnsi="Times New Roman" w:cs="Times New Roman"/>
          <w:lang w:val="ro-RO"/>
        </w:rPr>
        <w:t xml:space="preserve">      </w:t>
      </w:r>
    </w:p>
    <w:p w:rsidR="00301EE4" w:rsidRPr="001C3391" w:rsidRDefault="001C3391" w:rsidP="001C3391">
      <w:pPr>
        <w:rPr>
          <w:rFonts w:ascii="Times New Roman" w:hAnsi="Times New Roman" w:cs="Times New Roman"/>
          <w:lang w:val="ro-RO"/>
        </w:rPr>
      </w:pPr>
      <w:r>
        <w:rPr>
          <w:rFonts w:ascii="Times New Roman" w:hAnsi="Times New Roman" w:cs="Times New Roman"/>
          <w:lang w:val="ro-RO"/>
        </w:rPr>
        <w:t xml:space="preserve">             </w:t>
      </w:r>
    </w:p>
    <w:sectPr w:rsidR="00301EE4" w:rsidRPr="001C3391" w:rsidSect="00256DD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E69"/>
    <w:multiLevelType w:val="hybridMultilevel"/>
    <w:tmpl w:val="D162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34F7"/>
    <w:multiLevelType w:val="hybridMultilevel"/>
    <w:tmpl w:val="5096DA3C"/>
    <w:lvl w:ilvl="0" w:tplc="1488FA4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ECE1774"/>
    <w:multiLevelType w:val="hybridMultilevel"/>
    <w:tmpl w:val="3C0611A4"/>
    <w:lvl w:ilvl="0" w:tplc="3822FB1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789"/>
    <w:rsid w:val="00051C36"/>
    <w:rsid w:val="000C089F"/>
    <w:rsid w:val="000F76B3"/>
    <w:rsid w:val="001860CB"/>
    <w:rsid w:val="001B5EF9"/>
    <w:rsid w:val="001C3391"/>
    <w:rsid w:val="00301EE4"/>
    <w:rsid w:val="004745E3"/>
    <w:rsid w:val="005B61DC"/>
    <w:rsid w:val="00650789"/>
    <w:rsid w:val="0075099B"/>
    <w:rsid w:val="007E5C64"/>
    <w:rsid w:val="008C7657"/>
    <w:rsid w:val="008D2AB6"/>
    <w:rsid w:val="009D3461"/>
    <w:rsid w:val="00AB0A5A"/>
    <w:rsid w:val="00AB30A5"/>
    <w:rsid w:val="00BC2853"/>
    <w:rsid w:val="00C66C70"/>
    <w:rsid w:val="00CA11D0"/>
    <w:rsid w:val="00EC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2017-11-23T15:18:00Z</cp:lastPrinted>
  <dcterms:created xsi:type="dcterms:W3CDTF">2017-09-29T06:06:00Z</dcterms:created>
  <dcterms:modified xsi:type="dcterms:W3CDTF">2017-11-23T15:25:00Z</dcterms:modified>
</cp:coreProperties>
</file>