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1D" w:rsidRPr="00766FFC" w:rsidRDefault="0046731D" w:rsidP="0046731D">
      <w:pPr>
        <w:tabs>
          <w:tab w:val="left" w:pos="6168"/>
        </w:tabs>
        <w:spacing w:line="240" w:lineRule="auto"/>
        <w:jc w:val="both"/>
        <w:rPr>
          <w:rFonts w:ascii="Times New Roman" w:hAnsi="Times New Roman" w:cs="Times New Roman"/>
          <w:i/>
          <w:sz w:val="18"/>
          <w:szCs w:val="18"/>
          <w:lang w:val="ro-RO"/>
        </w:rPr>
      </w:pPr>
      <w:r>
        <w:rPr>
          <w:rFonts w:ascii="Times New Roman" w:hAnsi="Times New Roman" w:cs="Times New Roman"/>
          <w:i/>
          <w:sz w:val="24"/>
          <w:szCs w:val="24"/>
          <w:lang w:val="ro-RO"/>
        </w:rPr>
        <w:tab/>
        <w:t xml:space="preserve">                                   Anexa </w:t>
      </w:r>
      <w:r w:rsidRPr="00766FFC">
        <w:rPr>
          <w:rFonts w:ascii="Times New Roman" w:hAnsi="Times New Roman" w:cs="Times New Roman"/>
          <w:i/>
          <w:sz w:val="18"/>
          <w:szCs w:val="18"/>
          <w:lang w:val="ro-RO"/>
        </w:rPr>
        <w:t>nr</w:t>
      </w:r>
      <w:r>
        <w:rPr>
          <w:rFonts w:ascii="Times New Roman" w:hAnsi="Times New Roman" w:cs="Times New Roman"/>
          <w:i/>
          <w:sz w:val="24"/>
          <w:szCs w:val="24"/>
          <w:lang w:val="ro-RO"/>
        </w:rPr>
        <w:t>.3</w:t>
      </w:r>
    </w:p>
    <w:p w:rsidR="0046731D" w:rsidRPr="00766FFC" w:rsidRDefault="0046731D" w:rsidP="0046731D">
      <w:pPr>
        <w:tabs>
          <w:tab w:val="left" w:pos="6324"/>
          <w:tab w:val="left" w:pos="6816"/>
        </w:tabs>
        <w:spacing w:line="240" w:lineRule="auto"/>
        <w:ind w:left="360"/>
        <w:jc w:val="both"/>
        <w:rPr>
          <w:rFonts w:ascii="Times New Roman" w:hAnsi="Times New Roman" w:cs="Times New Roman"/>
          <w:i/>
          <w:sz w:val="18"/>
          <w:szCs w:val="18"/>
          <w:lang w:val="ro-RO"/>
        </w:rPr>
      </w:pPr>
      <w:r>
        <w:rPr>
          <w:rFonts w:ascii="Times New Roman" w:hAnsi="Times New Roman" w:cs="Times New Roman"/>
          <w:i/>
          <w:sz w:val="24"/>
          <w:szCs w:val="24"/>
          <w:lang w:val="ro-RO"/>
        </w:rPr>
        <w:t xml:space="preserve">                                                                                           la   decizia </w:t>
      </w:r>
      <w:r>
        <w:rPr>
          <w:rFonts w:ascii="Times New Roman" w:hAnsi="Times New Roman" w:cs="Times New Roman"/>
          <w:i/>
          <w:sz w:val="20"/>
          <w:szCs w:val="20"/>
          <w:lang w:val="ro-RO"/>
        </w:rPr>
        <w:t>Consiliului orășenesc Orhei</w:t>
      </w:r>
    </w:p>
    <w:p w:rsidR="0046731D" w:rsidRPr="00766FFC" w:rsidRDefault="0046731D" w:rsidP="0046731D">
      <w:pPr>
        <w:tabs>
          <w:tab w:val="left" w:pos="5904"/>
          <w:tab w:val="left" w:pos="6816"/>
        </w:tabs>
        <w:spacing w:line="240" w:lineRule="auto"/>
        <w:rPr>
          <w:rFonts w:ascii="Times New Roman" w:hAnsi="Times New Roman" w:cs="Times New Roman"/>
          <w:i/>
          <w:sz w:val="20"/>
          <w:szCs w:val="20"/>
          <w:lang w:val="ro-RO"/>
        </w:rPr>
      </w:pPr>
      <w:r>
        <w:rPr>
          <w:rFonts w:ascii="Times New Roman" w:hAnsi="Times New Roman" w:cs="Times New Roman"/>
          <w:i/>
          <w:sz w:val="24"/>
          <w:szCs w:val="24"/>
          <w:lang w:val="ro-RO"/>
        </w:rPr>
        <w:tab/>
        <w:t>nr.____din_____decembrie2016</w:t>
      </w:r>
      <w:r>
        <w:rPr>
          <w:rFonts w:ascii="Times New Roman" w:hAnsi="Times New Roman" w:cs="Times New Roman"/>
          <w:i/>
          <w:sz w:val="24"/>
          <w:szCs w:val="24"/>
          <w:lang w:val="ro-RO"/>
        </w:rPr>
        <w:tab/>
      </w:r>
    </w:p>
    <w:p w:rsidR="0046731D" w:rsidRDefault="0046731D" w:rsidP="0046731D">
      <w:pPr>
        <w:pStyle w:val="a3"/>
        <w:spacing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Cote de majorare sau micșorare în dependență de caracteristici</w:t>
      </w:r>
    </w:p>
    <w:p w:rsidR="0046731D" w:rsidRDefault="0046731D" w:rsidP="0046731D">
      <w:pPr>
        <w:pStyle w:val="a3"/>
        <w:spacing w:line="240" w:lineRule="auto"/>
        <w:rPr>
          <w:rFonts w:ascii="Times New Roman" w:hAnsi="Times New Roman" w:cs="Times New Roman"/>
          <w:i/>
          <w:sz w:val="24"/>
          <w:szCs w:val="24"/>
          <w:lang w:val="ro-RO"/>
        </w:rPr>
      </w:pPr>
    </w:p>
    <w:p w:rsidR="0046731D" w:rsidRDefault="0046731D" w:rsidP="0046731D">
      <w:pPr>
        <w:pStyle w:val="a3"/>
        <w:spacing w:line="240" w:lineRule="auto"/>
        <w:rPr>
          <w:rFonts w:ascii="Times New Roman" w:hAnsi="Times New Roman" w:cs="Times New Roman"/>
          <w:i/>
          <w:sz w:val="24"/>
          <w:szCs w:val="24"/>
          <w:lang w:val="ro-RO"/>
        </w:rPr>
      </w:pPr>
    </w:p>
    <w:p w:rsidR="0046731D" w:rsidRPr="0073610D" w:rsidRDefault="0046731D" w:rsidP="000F330E">
      <w:pPr>
        <w:pStyle w:val="a3"/>
        <w:numPr>
          <w:ilvl w:val="0"/>
          <w:numId w:val="1"/>
        </w:numPr>
        <w:spacing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w:t>
      </w:r>
      <w:r w:rsidRPr="0073610D">
        <w:rPr>
          <w:rFonts w:ascii="Times New Roman" w:hAnsi="Times New Roman" w:cs="Times New Roman"/>
          <w:i/>
          <w:sz w:val="24"/>
          <w:szCs w:val="24"/>
          <w:lang w:val="ro-RO"/>
        </w:rPr>
        <w:t>Taxa pentru unitățile de comerț și prestă</w:t>
      </w:r>
      <w:r>
        <w:rPr>
          <w:rFonts w:ascii="Times New Roman" w:hAnsi="Times New Roman" w:cs="Times New Roman"/>
          <w:i/>
          <w:sz w:val="24"/>
          <w:szCs w:val="24"/>
          <w:lang w:val="ro-RO"/>
        </w:rPr>
        <w:t xml:space="preserve">ri servicii </w:t>
      </w:r>
      <w:r w:rsidRPr="0073610D">
        <w:rPr>
          <w:rFonts w:ascii="Times New Roman" w:hAnsi="Times New Roman" w:cs="Times New Roman"/>
          <w:i/>
          <w:sz w:val="24"/>
          <w:szCs w:val="24"/>
          <w:lang w:val="ro-RO"/>
        </w:rPr>
        <w:t>plasate:</w:t>
      </w:r>
    </w:p>
    <w:p w:rsidR="0046731D" w:rsidRDefault="0046731D" w:rsidP="000F330E">
      <w:pPr>
        <w:pStyle w:val="a3"/>
        <w:spacing w:line="240" w:lineRule="auto"/>
        <w:rPr>
          <w:rFonts w:ascii="Times New Roman" w:hAnsi="Times New Roman" w:cs="Times New Roman"/>
          <w:sz w:val="24"/>
          <w:szCs w:val="24"/>
          <w:lang w:val="ro-RO"/>
        </w:rPr>
      </w:pPr>
    </w:p>
    <w:p w:rsidR="0046731D" w:rsidRDefault="0046731D" w:rsidP="000F330E">
      <w:pPr>
        <w:pStyle w:val="a3"/>
        <w:numPr>
          <w:ilvl w:val="0"/>
          <w:numId w:val="2"/>
        </w:numPr>
        <w:spacing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In centrul orașului, în cadrul străzilor: Chișinăului, C. Stamati, V. Mahu, I. Creangă, M. Costin, V. Lupu, M. Sadoveanu, Orheiul Vechi, C. Negruzzi,  I Mai ,M.Eminescu, Scrisul Latin,  Stefan cel Mare, Piatra Neamt,  Renasterii Nationale, Solom Aleihem, Veronica Micle,  Livezilor,Fintinilor,M.Gorkii,Soimarul, C. Negruzzi pina la str.C. Stamate.65 ,87 , V. Lupu pina la str.C. Stamate nr.141,154 str.V.Mahu pînă la nr.87,114</w:t>
      </w:r>
    </w:p>
    <w:p w:rsidR="0046731D" w:rsidRDefault="0046731D" w:rsidP="000F330E">
      <w:pPr>
        <w:pStyle w:val="a3"/>
        <w:spacing w:line="240" w:lineRule="auto"/>
        <w:ind w:left="426"/>
        <w:rPr>
          <w:rFonts w:ascii="Times New Roman" w:hAnsi="Times New Roman" w:cs="Times New Roman"/>
          <w:sz w:val="24"/>
          <w:szCs w:val="24"/>
          <w:lang w:val="ro-RO"/>
        </w:rPr>
      </w:pPr>
      <w:r>
        <w:rPr>
          <w:rFonts w:ascii="Times New Roman" w:hAnsi="Times New Roman" w:cs="Times New Roman"/>
          <w:sz w:val="24"/>
          <w:szCs w:val="24"/>
          <w:lang w:val="ro-RO"/>
        </w:rPr>
        <w:t xml:space="preserve"> – taxa se majorează cu 40%.</w:t>
      </w:r>
    </w:p>
    <w:p w:rsidR="0046731D" w:rsidRDefault="0046731D" w:rsidP="000F330E">
      <w:pPr>
        <w:pStyle w:val="a3"/>
        <w:spacing w:after="0" w:line="240" w:lineRule="auto"/>
        <w:rPr>
          <w:rFonts w:ascii="Times New Roman" w:hAnsi="Times New Roman" w:cs="Times New Roman"/>
          <w:sz w:val="24"/>
          <w:szCs w:val="24"/>
          <w:lang w:val="ro-RO"/>
        </w:rPr>
      </w:pPr>
    </w:p>
    <w:p w:rsidR="0046731D" w:rsidRDefault="0046731D" w:rsidP="000F330E">
      <w:pPr>
        <w:pStyle w:val="a3"/>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In centrele de cartiere:</w:t>
      </w:r>
    </w:p>
    <w:p w:rsidR="0046731D" w:rsidRDefault="0046731D" w:rsidP="000F330E">
      <w:pPr>
        <w:spacing w:after="0" w:line="240" w:lineRule="auto"/>
        <w:ind w:left="360"/>
        <w:rPr>
          <w:rFonts w:ascii="Times New Roman" w:hAnsi="Times New Roman" w:cs="Times New Roman"/>
          <w:sz w:val="24"/>
          <w:szCs w:val="24"/>
          <w:lang w:val="ro-RO"/>
        </w:rPr>
      </w:pPr>
      <w:r>
        <w:rPr>
          <w:rFonts w:ascii="Times New Roman" w:hAnsi="Times New Roman" w:cs="Times New Roman"/>
          <w:sz w:val="24"/>
          <w:szCs w:val="24"/>
          <w:lang w:val="ro-RO"/>
        </w:rPr>
        <w:t>Nordic – str. C. Negruzzi de la intersecția cu str. C. Stamati pînă la str. B. Glavan: str. B. Glavan de la intersecția cu str. Negruzzi pînă la str. Iakir și str.Iakir.</w:t>
      </w:r>
    </w:p>
    <w:p w:rsidR="0046731D" w:rsidRDefault="0046731D" w:rsidP="000F330E">
      <w:pPr>
        <w:spacing w:after="0" w:line="240" w:lineRule="auto"/>
        <w:ind w:left="360"/>
        <w:rPr>
          <w:rFonts w:ascii="Times New Roman" w:hAnsi="Times New Roman" w:cs="Times New Roman"/>
          <w:sz w:val="24"/>
          <w:szCs w:val="24"/>
          <w:lang w:val="ro-RO"/>
        </w:rPr>
      </w:pPr>
    </w:p>
    <w:p w:rsidR="0046731D" w:rsidRDefault="0046731D" w:rsidP="000F330E">
      <w:pPr>
        <w:spacing w:after="0" w:line="240" w:lineRule="auto"/>
        <w:ind w:left="360"/>
        <w:rPr>
          <w:rFonts w:ascii="Times New Roman" w:hAnsi="Times New Roman" w:cs="Times New Roman"/>
          <w:sz w:val="24"/>
          <w:szCs w:val="24"/>
          <w:lang w:val="ro-RO"/>
        </w:rPr>
      </w:pPr>
      <w:r>
        <w:rPr>
          <w:rFonts w:ascii="Times New Roman" w:hAnsi="Times New Roman" w:cs="Times New Roman"/>
          <w:sz w:val="24"/>
          <w:szCs w:val="24"/>
          <w:lang w:val="ro-RO"/>
        </w:rPr>
        <w:t>C.Negruzzi de la nr. 66 si 89cu intersectia str.C. .Stamate pina la nr. 117 cu intersectia str. B. Glavan.B.Glavan de la nr.cu intersectia str.C. Negruzzi pina la nr.11 cu intersectia str. Iakir, V.Lupu de la 149,156, str, V. Mahu   de la nr.88,115                                                                                                                      .</w:t>
      </w:r>
    </w:p>
    <w:p w:rsidR="0046731D" w:rsidRDefault="0046731D" w:rsidP="000F330E">
      <w:pPr>
        <w:spacing w:after="0" w:line="240" w:lineRule="auto"/>
        <w:ind w:left="360"/>
        <w:rPr>
          <w:rFonts w:ascii="Times New Roman" w:hAnsi="Times New Roman" w:cs="Times New Roman"/>
          <w:sz w:val="24"/>
          <w:szCs w:val="24"/>
          <w:lang w:val="ro-RO"/>
        </w:rPr>
      </w:pPr>
    </w:p>
    <w:p w:rsidR="0046731D" w:rsidRDefault="0046731D" w:rsidP="000F330E">
      <w:pPr>
        <w:spacing w:after="0" w:line="240" w:lineRule="auto"/>
        <w:ind w:left="360"/>
        <w:rPr>
          <w:rFonts w:ascii="Times New Roman" w:hAnsi="Times New Roman" w:cs="Times New Roman"/>
          <w:sz w:val="24"/>
          <w:szCs w:val="24"/>
          <w:lang w:val="ro-RO"/>
        </w:rPr>
      </w:pPr>
      <w:r>
        <w:rPr>
          <w:rFonts w:ascii="Times New Roman" w:hAnsi="Times New Roman" w:cs="Times New Roman"/>
          <w:sz w:val="24"/>
          <w:szCs w:val="24"/>
          <w:lang w:val="ro-RO"/>
        </w:rPr>
        <w:t>Lupoaica – str.Eliberării, S. Lazo  pînă la str. B. P. Hajdeu, Stejarilor.</w:t>
      </w:r>
    </w:p>
    <w:p w:rsidR="0046731D" w:rsidRDefault="0046731D" w:rsidP="000F330E">
      <w:pPr>
        <w:spacing w:after="0" w:line="240" w:lineRule="auto"/>
        <w:ind w:left="360"/>
        <w:rPr>
          <w:rFonts w:ascii="Times New Roman" w:hAnsi="Times New Roman" w:cs="Times New Roman"/>
          <w:sz w:val="24"/>
          <w:szCs w:val="24"/>
          <w:lang w:val="ro-RO"/>
        </w:rPr>
      </w:pPr>
    </w:p>
    <w:p w:rsidR="0046731D" w:rsidRDefault="0046731D" w:rsidP="000F330E">
      <w:pPr>
        <w:spacing w:after="0" w:line="240" w:lineRule="auto"/>
        <w:ind w:left="360"/>
        <w:rPr>
          <w:rFonts w:ascii="Times New Roman" w:hAnsi="Times New Roman" w:cs="Times New Roman"/>
          <w:sz w:val="24"/>
          <w:szCs w:val="24"/>
          <w:lang w:val="ro-RO"/>
        </w:rPr>
      </w:pPr>
      <w:r>
        <w:rPr>
          <w:rFonts w:ascii="Times New Roman" w:hAnsi="Times New Roman" w:cs="Times New Roman"/>
          <w:sz w:val="24"/>
          <w:szCs w:val="24"/>
          <w:lang w:val="ro-RO"/>
        </w:rPr>
        <w:t>Bucuria – str. Unirii,   Slobozia- Doamnei- str.31 August,  str. Nistreană</w:t>
      </w:r>
    </w:p>
    <w:p w:rsidR="0046731D" w:rsidRDefault="0046731D" w:rsidP="000F330E">
      <w:pPr>
        <w:spacing w:after="0" w:line="240" w:lineRule="auto"/>
        <w:ind w:left="360"/>
        <w:rPr>
          <w:rFonts w:ascii="Times New Roman" w:hAnsi="Times New Roman" w:cs="Times New Roman"/>
          <w:sz w:val="24"/>
          <w:szCs w:val="24"/>
          <w:lang w:val="ro-RO"/>
        </w:rPr>
      </w:pPr>
    </w:p>
    <w:p w:rsidR="0046731D" w:rsidRDefault="0046731D" w:rsidP="000F330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Taxa se majorează cu 20%</w:t>
      </w:r>
    </w:p>
    <w:p w:rsidR="0046731D" w:rsidRDefault="0046731D" w:rsidP="000F330E">
      <w:pPr>
        <w:spacing w:after="0" w:line="240" w:lineRule="auto"/>
        <w:ind w:left="360"/>
        <w:rPr>
          <w:rFonts w:ascii="Times New Roman" w:hAnsi="Times New Roman" w:cs="Times New Roman"/>
          <w:sz w:val="24"/>
          <w:szCs w:val="24"/>
          <w:lang w:val="ro-RO"/>
        </w:rPr>
      </w:pPr>
    </w:p>
    <w:p w:rsidR="0046731D" w:rsidRDefault="0046731D" w:rsidP="000F330E">
      <w:pPr>
        <w:spacing w:after="0" w:line="240" w:lineRule="auto"/>
        <w:ind w:left="360"/>
        <w:rPr>
          <w:rFonts w:ascii="Times New Roman" w:hAnsi="Times New Roman" w:cs="Times New Roman"/>
          <w:sz w:val="24"/>
          <w:szCs w:val="24"/>
          <w:lang w:val="ro-RO"/>
        </w:rPr>
      </w:pPr>
      <w:r>
        <w:rPr>
          <w:rFonts w:ascii="Times New Roman" w:hAnsi="Times New Roman" w:cs="Times New Roman"/>
          <w:sz w:val="24"/>
          <w:szCs w:val="24"/>
          <w:lang w:val="ro-RO"/>
        </w:rPr>
        <w:t>2.   Pentru comercializarea:</w:t>
      </w:r>
    </w:p>
    <w:p w:rsidR="0046731D" w:rsidRPr="0073610D" w:rsidRDefault="0046731D" w:rsidP="000F330E">
      <w:pPr>
        <w:pStyle w:val="a3"/>
        <w:spacing w:after="0" w:line="240" w:lineRule="auto"/>
        <w:rPr>
          <w:rFonts w:ascii="Times New Roman" w:hAnsi="Times New Roman" w:cs="Times New Roman"/>
          <w:i/>
          <w:sz w:val="24"/>
          <w:szCs w:val="24"/>
          <w:lang w:val="ro-RO"/>
        </w:rPr>
      </w:pPr>
    </w:p>
    <w:p w:rsidR="0046731D" w:rsidRDefault="0046731D" w:rsidP="000F330E">
      <w:pPr>
        <w:pStyle w:val="a3"/>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Băuturilor alcoolice și/sau articolelor din tutun, taxa se majorează cu 50 la sută;</w:t>
      </w:r>
    </w:p>
    <w:p w:rsidR="0046731D" w:rsidRDefault="0046731D" w:rsidP="000F330E">
      <w:pPr>
        <w:spacing w:after="0" w:line="240" w:lineRule="auto"/>
        <w:ind w:left="360"/>
        <w:rPr>
          <w:rFonts w:ascii="Times New Roman" w:hAnsi="Times New Roman" w:cs="Times New Roman"/>
          <w:sz w:val="24"/>
          <w:szCs w:val="24"/>
          <w:lang w:val="ro-RO"/>
        </w:rPr>
      </w:pPr>
    </w:p>
    <w:p w:rsidR="0046731D" w:rsidRPr="00440E12" w:rsidRDefault="0046731D" w:rsidP="000F330E">
      <w:pPr>
        <w:spacing w:after="0"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 xml:space="preserve">       3. </w:t>
      </w:r>
      <w:r w:rsidRPr="00440E12">
        <w:rPr>
          <w:rFonts w:ascii="Times New Roman" w:hAnsi="Times New Roman" w:cs="Times New Roman"/>
          <w:i/>
          <w:sz w:val="24"/>
          <w:szCs w:val="24"/>
          <w:lang w:val="ro-RO"/>
        </w:rPr>
        <w:t>În cazul aprobării activității obiectului în regimul ,,</w:t>
      </w:r>
      <w:r>
        <w:rPr>
          <w:rFonts w:ascii="Times New Roman" w:hAnsi="Times New Roman" w:cs="Times New Roman"/>
          <w:i/>
          <w:sz w:val="24"/>
          <w:szCs w:val="24"/>
          <w:lang w:val="ro-RO"/>
        </w:rPr>
        <w:t>non-stop” taxa se majorează cu 5</w:t>
      </w:r>
      <w:r w:rsidRPr="00440E12">
        <w:rPr>
          <w:rFonts w:ascii="Times New Roman" w:hAnsi="Times New Roman" w:cs="Times New Roman"/>
          <w:i/>
          <w:sz w:val="24"/>
          <w:szCs w:val="24"/>
          <w:lang w:val="ro-RO"/>
        </w:rPr>
        <w:t>0 la sută.</w:t>
      </w:r>
    </w:p>
    <w:p w:rsidR="0046731D" w:rsidRPr="00B6620D" w:rsidRDefault="0046731D" w:rsidP="000F330E">
      <w:pPr>
        <w:spacing w:after="0" w:line="240" w:lineRule="auto"/>
        <w:ind w:left="360"/>
        <w:rPr>
          <w:rFonts w:ascii="Times New Roman" w:hAnsi="Times New Roman" w:cs="Times New Roman"/>
          <w:i/>
          <w:sz w:val="24"/>
          <w:szCs w:val="24"/>
          <w:lang w:val="ro-RO"/>
        </w:rPr>
      </w:pPr>
    </w:p>
    <w:p w:rsidR="0046731D" w:rsidRDefault="0046731D" w:rsidP="000F330E">
      <w:pPr>
        <w:spacing w:after="0" w:line="240" w:lineRule="auto"/>
        <w:ind w:left="360"/>
        <w:rPr>
          <w:rFonts w:ascii="Times New Roman" w:hAnsi="Times New Roman" w:cs="Times New Roman"/>
          <w:sz w:val="24"/>
          <w:szCs w:val="24"/>
          <w:lang w:val="ro-RO"/>
        </w:rPr>
      </w:pPr>
      <w:r>
        <w:rPr>
          <w:rFonts w:ascii="Times New Roman" w:hAnsi="Times New Roman" w:cs="Times New Roman"/>
          <w:sz w:val="24"/>
          <w:szCs w:val="24"/>
          <w:lang w:val="ro-RO"/>
        </w:rPr>
        <w:t>4.   Pentru unitățile de comerț de mărfuri farmaceutice care sînt</w:t>
      </w:r>
      <w:r w:rsidR="000F330E">
        <w:rPr>
          <w:rFonts w:ascii="Times New Roman" w:hAnsi="Times New Roman" w:cs="Times New Roman"/>
          <w:sz w:val="24"/>
          <w:szCs w:val="24"/>
          <w:lang w:val="ro-RO"/>
        </w:rPr>
        <w:t xml:space="preserve"> plasate în cartierele  Nordic, </w:t>
      </w:r>
      <w:r>
        <w:rPr>
          <w:rFonts w:ascii="Times New Roman" w:hAnsi="Times New Roman" w:cs="Times New Roman"/>
          <w:sz w:val="24"/>
          <w:szCs w:val="24"/>
          <w:lang w:val="ro-RO"/>
        </w:rPr>
        <w:t xml:space="preserve">Bucuria, Lupoaica, Slobozia-Doamnei taxa se micșorează cu 50% </w:t>
      </w:r>
    </w:p>
    <w:p w:rsidR="00F25669" w:rsidRDefault="00F25669" w:rsidP="000F330E">
      <w:pPr>
        <w:spacing w:after="0" w:line="240" w:lineRule="auto"/>
        <w:ind w:left="360"/>
        <w:rPr>
          <w:rFonts w:ascii="Times New Roman" w:hAnsi="Times New Roman" w:cs="Times New Roman"/>
          <w:sz w:val="24"/>
          <w:szCs w:val="24"/>
          <w:lang w:val="ro-RO"/>
        </w:rPr>
      </w:pPr>
    </w:p>
    <w:p w:rsidR="00767761" w:rsidRDefault="0046731D" w:rsidP="000F330E">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67761">
        <w:rPr>
          <w:rFonts w:ascii="Times New Roman" w:hAnsi="Times New Roman" w:cs="Times New Roman"/>
          <w:sz w:val="24"/>
          <w:szCs w:val="24"/>
          <w:lang w:val="ro-RO"/>
        </w:rPr>
        <w:t>5.</w:t>
      </w:r>
      <w:r w:rsidR="000F330E">
        <w:rPr>
          <w:rFonts w:ascii="Times New Roman" w:hAnsi="Times New Roman" w:cs="Times New Roman"/>
          <w:sz w:val="24"/>
          <w:szCs w:val="24"/>
          <w:lang w:val="ro-RO"/>
        </w:rPr>
        <w:t>Cu derogare de la anexa nr.3 a comerțului cu amănuntul efectuat prin staduri,chioșcuri, pavilioane și unități mobile</w:t>
      </w:r>
    </w:p>
    <w:p w:rsidR="0046731D" w:rsidRDefault="000F330E" w:rsidP="000F330E">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6</w:t>
      </w:r>
      <w:r w:rsidR="0046731D">
        <w:rPr>
          <w:rFonts w:ascii="Times New Roman" w:hAnsi="Times New Roman" w:cs="Times New Roman"/>
          <w:sz w:val="24"/>
          <w:szCs w:val="24"/>
          <w:lang w:val="ro-RO"/>
        </w:rPr>
        <w:t>. Pentru comerțul cu amănuntul efectuat prin standuri,chioșcuri pavilioane, unități mobile care comercializează în exclusivitate   pîine și produse de panific</w:t>
      </w:r>
      <w:r w:rsidR="00767761">
        <w:rPr>
          <w:rFonts w:ascii="Times New Roman" w:hAnsi="Times New Roman" w:cs="Times New Roman"/>
          <w:sz w:val="24"/>
          <w:szCs w:val="24"/>
          <w:lang w:val="ro-RO"/>
        </w:rPr>
        <w:t xml:space="preserve">ație taxa se micșorează cu 50% </w:t>
      </w:r>
    </w:p>
    <w:p w:rsidR="000F330E" w:rsidRDefault="000F330E" w:rsidP="000F330E">
      <w:pPr>
        <w:spacing w:line="240" w:lineRule="auto"/>
        <w:rPr>
          <w:sz w:val="24"/>
          <w:szCs w:val="24"/>
          <w:lang w:val="ro-RO"/>
        </w:rPr>
      </w:pPr>
      <w:r>
        <w:rPr>
          <w:sz w:val="24"/>
          <w:szCs w:val="24"/>
          <w:lang w:val="ro-RO"/>
        </w:rPr>
        <w:t xml:space="preserve">       7</w:t>
      </w:r>
      <w:r w:rsidR="0046731D" w:rsidRPr="00577E17">
        <w:rPr>
          <w:sz w:val="24"/>
          <w:szCs w:val="24"/>
          <w:lang w:val="ro-RO"/>
        </w:rPr>
        <w:t>.</w:t>
      </w:r>
      <w:r w:rsidR="0046731D">
        <w:rPr>
          <w:sz w:val="24"/>
          <w:szCs w:val="24"/>
          <w:lang w:val="ro-RO"/>
        </w:rPr>
        <w:t xml:space="preserve"> Se micșorează taxa de piață cu 100%  -- </w:t>
      </w:r>
      <w:r w:rsidR="0046731D" w:rsidRPr="00577E17">
        <w:rPr>
          <w:sz w:val="24"/>
          <w:szCs w:val="24"/>
          <w:lang w:val="ro-RO"/>
        </w:rPr>
        <w:t xml:space="preserve">suprafața terenului </w:t>
      </w:r>
      <w:r w:rsidR="0046731D">
        <w:rPr>
          <w:sz w:val="24"/>
          <w:szCs w:val="24"/>
          <w:lang w:val="ro-RO"/>
        </w:rPr>
        <w:t xml:space="preserve">pe </w:t>
      </w:r>
      <w:r w:rsidR="0046731D" w:rsidRPr="00577E17">
        <w:rPr>
          <w:sz w:val="24"/>
          <w:szCs w:val="24"/>
          <w:lang w:val="ro-RO"/>
        </w:rPr>
        <w:t>care este amplasat imobilul</w:t>
      </w:r>
      <w:r w:rsidR="0046731D">
        <w:rPr>
          <w:sz w:val="24"/>
          <w:szCs w:val="24"/>
          <w:lang w:val="ro-RO"/>
        </w:rPr>
        <w:t xml:space="preserve"> pentru care se calculează și se achită taxa de piață.             </w:t>
      </w:r>
    </w:p>
    <w:p w:rsidR="0046731D" w:rsidRDefault="0046731D" w:rsidP="000F330E">
      <w:pPr>
        <w:spacing w:line="240" w:lineRule="auto"/>
        <w:rPr>
          <w:sz w:val="24"/>
          <w:szCs w:val="24"/>
          <w:vertAlign w:val="superscript"/>
          <w:lang w:val="ro-RO"/>
        </w:rPr>
      </w:pPr>
      <w:r>
        <w:rPr>
          <w:sz w:val="24"/>
          <w:szCs w:val="24"/>
          <w:lang w:val="ro-RO"/>
        </w:rPr>
        <w:t xml:space="preserve">                                                                </w:t>
      </w:r>
    </w:p>
    <w:p w:rsidR="00301EE4" w:rsidRPr="0046731D" w:rsidRDefault="0046731D" w:rsidP="000F330E">
      <w:pPr>
        <w:rPr>
          <w:lang w:val="en-US"/>
        </w:rPr>
      </w:pPr>
      <w:r>
        <w:rPr>
          <w:sz w:val="24"/>
          <w:szCs w:val="24"/>
          <w:lang w:val="ro-RO"/>
        </w:rPr>
        <w:t>Secretar al Consiliului orășenesc Orhei</w:t>
      </w:r>
      <w:r>
        <w:rPr>
          <w:sz w:val="24"/>
          <w:szCs w:val="24"/>
          <w:lang w:val="ro-RO"/>
        </w:rPr>
        <w:tab/>
      </w:r>
      <w:r w:rsidR="000F330E">
        <w:rPr>
          <w:sz w:val="24"/>
          <w:szCs w:val="24"/>
          <w:lang w:val="ro-RO"/>
        </w:rPr>
        <w:t xml:space="preserve">                                  Ala </w:t>
      </w:r>
      <w:r>
        <w:rPr>
          <w:sz w:val="24"/>
          <w:szCs w:val="24"/>
          <w:lang w:val="ro-RO"/>
        </w:rPr>
        <w:t>BURACOVSCHI</w:t>
      </w:r>
    </w:p>
    <w:sectPr w:rsidR="00301EE4" w:rsidRPr="0046731D" w:rsidSect="00F25669">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E69"/>
    <w:multiLevelType w:val="hybridMultilevel"/>
    <w:tmpl w:val="D162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CE1774"/>
    <w:multiLevelType w:val="hybridMultilevel"/>
    <w:tmpl w:val="3C0611A4"/>
    <w:lvl w:ilvl="0" w:tplc="3822FB1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31D"/>
    <w:rsid w:val="00066B6B"/>
    <w:rsid w:val="000F330E"/>
    <w:rsid w:val="00301EE4"/>
    <w:rsid w:val="0046731D"/>
    <w:rsid w:val="005E01B9"/>
    <w:rsid w:val="007639AE"/>
    <w:rsid w:val="00767761"/>
    <w:rsid w:val="009D2072"/>
    <w:rsid w:val="00AD362E"/>
    <w:rsid w:val="00DC06A0"/>
    <w:rsid w:val="00F25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3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D74F-4EB0-4F11-B169-DAC69D6B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384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2016-12-01T11:27:00Z</cp:lastPrinted>
  <dcterms:created xsi:type="dcterms:W3CDTF">2016-12-01T07:44:00Z</dcterms:created>
  <dcterms:modified xsi:type="dcterms:W3CDTF">2016-12-01T12:29:00Z</dcterms:modified>
</cp:coreProperties>
</file>