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91" w:rsidRPr="00094F81" w:rsidRDefault="00765091" w:rsidP="00765091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94F81">
        <w:rPr>
          <w:rFonts w:ascii="Times New Roman" w:hAnsi="Times New Roman"/>
          <w:b/>
          <w:sz w:val="28"/>
          <w:szCs w:val="28"/>
          <w:lang w:val="ro-MO"/>
        </w:rPr>
        <w:t>Notă informativă la proiectul de Decizie</w:t>
      </w:r>
    </w:p>
    <w:p w:rsidR="00765091" w:rsidRDefault="00765091" w:rsidP="00765091">
      <w:pPr>
        <w:pStyle w:val="Style3"/>
        <w:spacing w:before="53"/>
        <w:ind w:right="-5"/>
        <w:jc w:val="center"/>
        <w:rPr>
          <w:rStyle w:val="FontStyle12"/>
          <w:b/>
          <w:sz w:val="28"/>
          <w:szCs w:val="28"/>
          <w:lang w:val="ro-RO" w:eastAsia="en-US"/>
        </w:rPr>
      </w:pPr>
      <w:r w:rsidRPr="00094F81">
        <w:rPr>
          <w:b/>
          <w:sz w:val="28"/>
          <w:szCs w:val="28"/>
          <w:lang w:val="ro-MO"/>
        </w:rPr>
        <w:t>,,</w:t>
      </w:r>
      <w:r w:rsidRPr="00765091">
        <w:rPr>
          <w:lang w:val="en-US"/>
        </w:rPr>
        <w:t xml:space="preserve"> </w:t>
      </w:r>
      <w:r w:rsidRPr="00765091">
        <w:rPr>
          <w:rStyle w:val="FontStyle12"/>
          <w:b/>
          <w:sz w:val="28"/>
          <w:szCs w:val="28"/>
          <w:lang w:val="ro-RO" w:eastAsia="en-US"/>
        </w:rPr>
        <w:t>Cu privire la comerc</w:t>
      </w:r>
      <w:r>
        <w:rPr>
          <w:rStyle w:val="FontStyle12"/>
          <w:b/>
          <w:sz w:val="28"/>
          <w:szCs w:val="28"/>
          <w:lang w:val="ro-RO" w:eastAsia="en-US"/>
        </w:rPr>
        <w:t xml:space="preserve">ializarea activelor neutilizate </w:t>
      </w:r>
      <w:r w:rsidRPr="00765091">
        <w:rPr>
          <w:rStyle w:val="FontStyle12"/>
          <w:b/>
          <w:sz w:val="28"/>
          <w:szCs w:val="28"/>
          <w:lang w:val="ro-RO" w:eastAsia="en-US"/>
        </w:rPr>
        <w:t>cu expunerea la licitaţie</w:t>
      </w:r>
      <w:r w:rsidRPr="00094F81">
        <w:rPr>
          <w:rStyle w:val="FontStyle12"/>
          <w:b/>
          <w:sz w:val="28"/>
          <w:szCs w:val="28"/>
          <w:lang w:val="ro-RO" w:eastAsia="en-US"/>
        </w:rPr>
        <w:t>”</w:t>
      </w:r>
    </w:p>
    <w:p w:rsidR="00765091" w:rsidRPr="00094F81" w:rsidRDefault="00765091" w:rsidP="00765091">
      <w:pPr>
        <w:pStyle w:val="Style3"/>
        <w:widowControl/>
        <w:spacing w:before="53"/>
        <w:ind w:right="-5"/>
        <w:jc w:val="center"/>
        <w:rPr>
          <w:b/>
          <w:sz w:val="28"/>
          <w:szCs w:val="28"/>
          <w:lang w:val="ro-RO" w:eastAsia="en-US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Administratorul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Î.M. ,,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Servicii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Comunal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-Locative” 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Orhei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Valeriu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OPREA</w:t>
            </w:r>
          </w:p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Default="00765091" w:rsidP="000F17A0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elaborări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adoptării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comercializarea</w:t>
            </w:r>
            <w:proofErr w:type="spellEnd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activelor</w:t>
            </w:r>
            <w:proofErr w:type="spellEnd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neutilizate</w:t>
            </w:r>
            <w:proofErr w:type="spellEnd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expunerea</w:t>
            </w:r>
            <w:proofErr w:type="spellEnd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licitaţie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survine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faptul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orăşănesc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Orhei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nr.10.19 din 26.12.2012</w:t>
            </w:r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45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13.8 din 27.12.2013 şi </w:t>
            </w:r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14.7 din 26.12.2018</w:t>
            </w:r>
            <w:proofErr w:type="gramStart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acceptată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următoarelor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</w:t>
            </w:r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autocamion</w:t>
            </w:r>
            <w:proofErr w:type="spellEnd"/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GAZ 5312 cu nr. </w:t>
            </w:r>
            <w:r w:rsidR="000F17A0" w:rsidRP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AG 126</w:t>
            </w:r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0F17A0" w:rsidRPr="000F17A0">
              <w:rPr>
                <w:lang w:val="en-US"/>
              </w:rPr>
              <w:t xml:space="preserve"> </w:t>
            </w:r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tractor T 25 cu nr. </w:t>
            </w:r>
            <w:r w:rsidR="000F17A0" w:rsidRP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A 597</w:t>
            </w:r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0F17A0" w:rsidRPr="000F17A0">
              <w:rPr>
                <w:lang w:val="en-US"/>
              </w:rPr>
              <w:t xml:space="preserve"> </w:t>
            </w:r>
            <w:proofErr w:type="spellStart"/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remorca</w:t>
            </w:r>
            <w:proofErr w:type="spellEnd"/>
            <w:r w:rsidR="000F17A0" w:rsidRP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1PTS2</w:t>
            </w:r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</w:t>
            </w:r>
            <w:r w:rsidR="000F17A0" w:rsidRP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RT 323</w:t>
            </w:r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0F17A0" w:rsidRPr="000F17A0">
              <w:rPr>
                <w:lang w:val="en-US"/>
              </w:rPr>
              <w:t xml:space="preserve"> </w:t>
            </w:r>
            <w:proofErr w:type="spellStart"/>
            <w:r w:rsid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remorca</w:t>
            </w:r>
            <w:proofErr w:type="spellEnd"/>
            <w:r w:rsidR="000F17A0" w:rsidRPr="000F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1PT-3 OR AB 427</w:t>
            </w:r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605699" w:rsidRPr="00605699">
              <w:rPr>
                <w:lang w:val="en-US"/>
              </w:rPr>
              <w:t xml:space="preserve"> </w:t>
            </w:r>
            <w:proofErr w:type="spellStart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Autocamion</w:t>
            </w:r>
            <w:proofErr w:type="spellEnd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ZIL-130</w:t>
            </w:r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</w:t>
            </w:r>
            <w:r w:rsidR="00605699" w:rsidRPr="00605699">
              <w:rPr>
                <w:lang w:val="en-US"/>
              </w:rPr>
              <w:t xml:space="preserve"> </w:t>
            </w:r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AR 634</w:t>
            </w:r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605699" w:rsidRPr="00605699">
              <w:rPr>
                <w:lang w:val="en-US"/>
              </w:rPr>
              <w:t xml:space="preserve"> </w:t>
            </w:r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Miniîncărcător-1200</w:t>
            </w:r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605699" w:rsidRPr="00605699">
              <w:rPr>
                <w:lang w:val="en-US"/>
              </w:rPr>
              <w:t xml:space="preserve"> </w:t>
            </w:r>
            <w:proofErr w:type="spellStart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Ferestrău</w:t>
            </w:r>
            <w:proofErr w:type="spellEnd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605699" w:rsidRPr="00605699">
              <w:rPr>
                <w:lang w:val="en-US"/>
              </w:rPr>
              <w:t xml:space="preserve"> </w:t>
            </w:r>
            <w:proofErr w:type="spellStart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Maş</w:t>
            </w:r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ina</w:t>
            </w:r>
            <w:proofErr w:type="spellEnd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tuns</w:t>
            </w:r>
            <w:proofErr w:type="spellEnd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gazoanele</w:t>
            </w:r>
            <w:proofErr w:type="spellEnd"/>
            <w:r w:rsid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605699" w:rsidRPr="00605699">
              <w:rPr>
                <w:lang w:val="en-US"/>
              </w:rPr>
              <w:t xml:space="preserve"> </w:t>
            </w:r>
            <w:proofErr w:type="spellStart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Cazan</w:t>
            </w:r>
            <w:proofErr w:type="spellEnd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</w:t>
            </w:r>
            <w:proofErr w:type="spellStart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</w:t>
            </w:r>
            <w:proofErr w:type="spellEnd"/>
            <w:r w:rsidR="00605699" w:rsidRPr="0060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CS-12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4470C1" w:rsidRPr="004470C1">
              <w:rPr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Autocamion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Furgon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GAZ 5314-01 OR AG 119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4470C1" w:rsidRPr="004470C1">
              <w:rPr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Autocamion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Basculantă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ZIL MMZ 45021 OR AO 957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4470C1" w:rsidRPr="004470C1">
              <w:rPr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Autoturism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Unirversal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Wolkswagien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Passat OR AZ 615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4470C1" w:rsidRPr="004470C1">
              <w:rPr>
                <w:lang w:val="en-US"/>
              </w:rPr>
              <w:t xml:space="preserve"> </w:t>
            </w:r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Tractor T-40 OR A 596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4470C1" w:rsidRPr="004470C1">
              <w:rPr>
                <w:lang w:val="en-US"/>
              </w:rPr>
              <w:t xml:space="preserve"> </w:t>
            </w:r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Tractor T-25 OR A 598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4470C1" w:rsidRPr="004470C1">
              <w:rPr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Remorcă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2PTS4 OR RT 283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4470C1" w:rsidRPr="004470C1">
              <w:rPr>
                <w:lang w:val="en-US"/>
              </w:rPr>
              <w:t xml:space="preserve"> </w:t>
            </w:r>
            <w:proofErr w:type="spellStart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Remorcă</w:t>
            </w:r>
            <w:proofErr w:type="spellEnd"/>
            <w:r w:rsidR="004470C1" w:rsidRP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1PTS2 OR RT 286</w:t>
            </w:r>
            <w:r w:rsidR="00447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65091" w:rsidRDefault="00045EAE" w:rsidP="00421457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pct. 14 din</w:t>
            </w:r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</w:t>
            </w:r>
            <w:r w:rsidR="002D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 nr. 500 din 12.05.1998 </w:t>
            </w:r>
            <w:proofErr w:type="spellStart"/>
            <w:r w:rsidR="002D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Întreprinderea</w:t>
            </w:r>
            <w:proofErr w:type="spellEnd"/>
            <w:r w:rsidR="002D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2D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piesele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45EAE" w:rsidRDefault="00045EAE" w:rsidP="003A5BEA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Potrivit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proceselor-verbale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s-a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23</w:t>
            </w:r>
            <w:r w:rsidR="008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kg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</w:t>
            </w:r>
            <w:proofErr w:type="spellEnd"/>
            <w:r w:rsidR="00804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90692" w:rsidRDefault="003A5BEA" w:rsidP="00421457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Luînd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consideraţie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este</w:t>
            </w:r>
            <w:r w:rsidR="00A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în </w:t>
            </w:r>
            <w:proofErr w:type="spellStart"/>
            <w:r w:rsidR="00A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</w:t>
            </w:r>
            <w:proofErr w:type="spellEnd"/>
            <w:r w:rsidR="00A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mare, a </w:t>
            </w:r>
            <w:proofErr w:type="spellStart"/>
            <w:r w:rsidR="00A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="00A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pus</w:t>
            </w:r>
            <w:r w:rsidR="00370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în</w:t>
            </w:r>
            <w:r w:rsidR="00A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A906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îteva depozite, care la moment sunt necesare pentru a pune o parte din vehicole Întreprinderii în ele.</w:t>
            </w:r>
          </w:p>
          <w:p w:rsidR="006C5510" w:rsidRPr="00A90692" w:rsidRDefault="00A90692" w:rsidP="00421457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51803" w:rsidRPr="0095180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de decizie prezentat spre aprobare are drept scop</w:t>
            </w:r>
            <w:r w:rsidR="0095180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951803"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comercializarea</w:t>
            </w:r>
            <w:proofErr w:type="spellEnd"/>
            <w:r w:rsidR="00951803"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803"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activelor</w:t>
            </w:r>
            <w:proofErr w:type="spellEnd"/>
            <w:r w:rsidR="00951803"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803" w:rsidRPr="0076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neutilizate</w:t>
            </w:r>
            <w:proofErr w:type="spellEnd"/>
            <w:r w:rsidR="00F171C0" w:rsidRPr="00F171C0">
              <w:rPr>
                <w:lang w:val="en-US"/>
              </w:rPr>
              <w:t xml:space="preserve"> </w:t>
            </w:r>
            <w:r w:rsidR="00F171C0" w:rsidRP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conform </w:t>
            </w:r>
            <w:proofErr w:type="spellStart"/>
            <w:r w:rsidR="00F171C0" w:rsidRP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listei</w:t>
            </w:r>
            <w:proofErr w:type="spellEnd"/>
            <w:r w:rsidR="00F171C0" w:rsidRP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F171C0" w:rsidRP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 w:rsidR="00F171C0" w:rsidRP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menţionat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iar cu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sumele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obţinute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Întreprinderea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trece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venituri</w:t>
            </w:r>
            <w:proofErr w:type="spellEnd"/>
            <w:r w:rsidR="00F17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65091" w:rsidRPr="00094F81" w:rsidRDefault="00F171C0" w:rsidP="00343FB6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întemiem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 </w:t>
            </w:r>
            <w:proofErr w:type="spellStart"/>
            <w:r w:rsid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art.14,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(3) al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nr.436 - XVI   </w:t>
            </w:r>
            <w:proofErr w:type="gram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  28</w:t>
            </w:r>
            <w:proofErr w:type="gram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decembrie  2006, art. 7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(2), lit. </w:t>
            </w:r>
            <w:proofErr w:type="gram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 8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(7), lit. f) al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şi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municipală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246 </w:t>
            </w:r>
            <w:proofErr w:type="gram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  23.11.2017</w:t>
            </w:r>
            <w:proofErr w:type="gram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art.12 lit. g), art. 18 al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nr.121 din 04.05.2007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proprietăţii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480 din  28.03.2008 cu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determinare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comercializare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activelor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neutilizate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întreprinderilor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136 din 10.02.2009 cu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licitaţiile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strigare</w:t>
            </w:r>
            <w:proofErr w:type="spellEnd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cu </w:t>
            </w:r>
            <w:proofErr w:type="spellStart"/>
            <w:r w:rsidR="00343FB6"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reducere</w:t>
            </w:r>
            <w:proofErr w:type="spellEnd"/>
            <w:r w:rsid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43FB6" w:rsidRDefault="00343FB6" w:rsidP="00343F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contextul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celor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menţionate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solicităm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aprobaţi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neutilizate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expunerea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licitaţie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End"/>
          </w:p>
          <w:p w:rsidR="00765091" w:rsidRPr="00343FB6" w:rsidRDefault="00343FB6" w:rsidP="00343F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Sper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solicitudinea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înţelegea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partea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Dvs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şi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rămânem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în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aştepatare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mulţumindu-vă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anticipat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voinţă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proofErr w:type="gramStart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susţinere</w:t>
            </w:r>
            <w:proofErr w:type="spellEnd"/>
            <w:r w:rsidRPr="00343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343FB6">
            <w:pPr>
              <w:pStyle w:val="Style3"/>
              <w:widowControl/>
              <w:spacing w:before="53"/>
              <w:ind w:right="-5"/>
              <w:rPr>
                <w:sz w:val="28"/>
                <w:szCs w:val="28"/>
                <w:lang w:val="ro-MO"/>
              </w:rPr>
            </w:pP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lastRenderedPageBreak/>
              <w:t>5. Fundamentarea economico-financiară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ro-MO" w:eastAsia="en-US"/>
              </w:rPr>
            </w:pPr>
            <w:r w:rsidRPr="00094F81">
              <w:rPr>
                <w:sz w:val="28"/>
                <w:szCs w:val="28"/>
                <w:lang w:val="ro-MO" w:eastAsia="en-US"/>
              </w:rPr>
              <w:t xml:space="preserve">Aprobarea </w:t>
            </w:r>
            <w:r w:rsidRPr="00094F81">
              <w:rPr>
                <w:sz w:val="28"/>
                <w:szCs w:val="28"/>
                <w:lang w:val="ro-RO" w:eastAsia="en-US"/>
              </w:rPr>
              <w:t>ş</w:t>
            </w:r>
            <w:r w:rsidRPr="00094F81">
              <w:rPr>
                <w:sz w:val="28"/>
                <w:szCs w:val="28"/>
                <w:lang w:val="ro-MO" w:eastAsia="en-US"/>
              </w:rPr>
              <w:t>i implementarea prevederilor acestui proiect de decizie nu necesită cheltuieli financiare suplimentare din bugetul APL.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765091" w:rsidRPr="00A90692" w:rsidTr="00421457">
        <w:tc>
          <w:tcPr>
            <w:tcW w:w="5000" w:type="pct"/>
          </w:tcPr>
          <w:p w:rsidR="00113B81" w:rsidRPr="00113B81" w:rsidRDefault="00765091" w:rsidP="00113B8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Style w:val="FontStyle12"/>
                <w:sz w:val="28"/>
                <w:szCs w:val="28"/>
                <w:lang w:val="ro-R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Decizia Consiliului municipal Orhei</w:t>
            </w:r>
            <w:r w:rsidRPr="00094F81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 ,,</w:t>
            </w:r>
            <w:r w:rsidR="00113B81" w:rsidRPr="00113B81">
              <w:rPr>
                <w:lang w:val="en-US"/>
              </w:rPr>
              <w:t xml:space="preserve"> </w:t>
            </w:r>
            <w:r w:rsidR="00113B81" w:rsidRPr="00113B81">
              <w:rPr>
                <w:rStyle w:val="FontStyle12"/>
                <w:sz w:val="28"/>
                <w:szCs w:val="28"/>
                <w:lang w:val="ro-RO"/>
              </w:rPr>
              <w:t>Cu privire la comercializarea activelor neutilizate</w:t>
            </w:r>
          </w:p>
          <w:p w:rsidR="00765091" w:rsidRPr="00094F81" w:rsidRDefault="00113B81" w:rsidP="00113B8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B81">
              <w:rPr>
                <w:rStyle w:val="FontStyle12"/>
                <w:sz w:val="28"/>
                <w:szCs w:val="28"/>
                <w:lang w:val="ro-RO"/>
              </w:rPr>
              <w:t>cu expunerea la licitaţie</w:t>
            </w:r>
            <w:r w:rsidR="00765091" w:rsidRPr="00094F81">
              <w:rPr>
                <w:rStyle w:val="FontStyle12"/>
                <w:sz w:val="28"/>
                <w:szCs w:val="28"/>
                <w:lang w:val="en-US"/>
              </w:rPr>
              <w:t>”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Proiectul dat este supus dezbaterilor pu</w:t>
            </w:r>
            <w:r w:rsidR="00113B81">
              <w:rPr>
                <w:rFonts w:ascii="Times New Roman" w:hAnsi="Times New Roman"/>
                <w:sz w:val="28"/>
                <w:szCs w:val="28"/>
                <w:lang w:val="ro-MO"/>
              </w:rPr>
              <w:t>blice, fiind plasat pe pagina P</w:t>
            </w: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rimăriei mun. Orhei </w:t>
            </w:r>
            <w:r w:rsidRPr="00094F81">
              <w:rPr>
                <w:rFonts w:ascii="Times New Roman" w:hAnsi="Times New Roman"/>
                <w:sz w:val="28"/>
                <w:szCs w:val="28"/>
                <w:u w:val="single"/>
                <w:lang w:val="ro-MO"/>
              </w:rPr>
              <w:t>web orhei.md</w:t>
            </w: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la compartimentul  Proiecte de documente/ proiecte de decizii al Consiliului Municipal Orhei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8. Constatările expertizei anticorupţie</w:t>
            </w: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Nu este cazul</w:t>
            </w: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Nu este cazul</w:t>
            </w: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765091" w:rsidRPr="00A90692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Proiectul a fost supus expertizei juridice pentru corespunderea normelor legislative, de către specialistul jurist din cadrul primăriei Orhei şi este avizat.</w:t>
            </w: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765091" w:rsidP="0042145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765091" w:rsidRPr="00094F81" w:rsidTr="00421457">
        <w:tc>
          <w:tcPr>
            <w:tcW w:w="5000" w:type="pct"/>
          </w:tcPr>
          <w:p w:rsidR="00765091" w:rsidRPr="00094F81" w:rsidRDefault="00343FB6" w:rsidP="00343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Nu este cazul</w:t>
            </w:r>
          </w:p>
        </w:tc>
      </w:tr>
    </w:tbl>
    <w:p w:rsidR="00765091" w:rsidRPr="00094F81" w:rsidRDefault="00765091" w:rsidP="00765091">
      <w:pPr>
        <w:rPr>
          <w:rFonts w:ascii="Times New Roman" w:hAnsi="Times New Roman"/>
          <w:sz w:val="28"/>
          <w:szCs w:val="28"/>
          <w:lang w:val="ro-MO"/>
        </w:rPr>
      </w:pPr>
    </w:p>
    <w:p w:rsidR="00765091" w:rsidRPr="00094F81" w:rsidRDefault="00765091" w:rsidP="00765091">
      <w:pPr>
        <w:rPr>
          <w:rFonts w:ascii="Times New Roman" w:hAnsi="Times New Roman"/>
          <w:sz w:val="28"/>
          <w:szCs w:val="28"/>
          <w:lang w:val="ro-RO"/>
        </w:rPr>
      </w:pPr>
      <w:r w:rsidRPr="00094F81">
        <w:rPr>
          <w:rFonts w:ascii="Times New Roman" w:hAnsi="Times New Roman"/>
          <w:sz w:val="28"/>
          <w:szCs w:val="28"/>
          <w:lang w:val="ro-RO"/>
        </w:rPr>
        <w:t xml:space="preserve">Autor: </w:t>
      </w:r>
    </w:p>
    <w:p w:rsidR="00765091" w:rsidRPr="00094F81" w:rsidRDefault="00765091" w:rsidP="00765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94F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Cu respect,   </w:t>
      </w:r>
    </w:p>
    <w:p w:rsidR="00765091" w:rsidRPr="00094F81" w:rsidRDefault="00765091" w:rsidP="00765091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113B81" w:rsidRDefault="00113B81" w:rsidP="0076509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Administratorul</w:t>
      </w:r>
      <w:proofErr w:type="spell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65091" w:rsidRPr="00094F81" w:rsidRDefault="00765091" w:rsidP="0076509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Î.M. </w:t>
      </w:r>
      <w:proofErr w:type="gram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,,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Servicii</w:t>
      </w:r>
      <w:proofErr w:type="spellEnd"/>
      <w:proofErr w:type="gram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Comunal</w:t>
      </w:r>
      <w:proofErr w:type="spell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-Locative” 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Orhei</w:t>
      </w:r>
      <w:proofErr w:type="spell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113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</w:t>
      </w:r>
      <w:proofErr w:type="spellStart"/>
      <w:r w:rsidR="00113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Valeriu</w:t>
      </w:r>
      <w:proofErr w:type="spellEnd"/>
      <w:r w:rsidR="00113B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OPREA</w:t>
      </w:r>
    </w:p>
    <w:p w:rsidR="00765091" w:rsidRPr="00094F81" w:rsidRDefault="00765091" w:rsidP="0076509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5091" w:rsidRPr="00094F81" w:rsidRDefault="00765091" w:rsidP="00765091">
      <w:pPr>
        <w:rPr>
          <w:rFonts w:ascii="Times New Roman" w:hAnsi="Times New Roman"/>
          <w:sz w:val="28"/>
          <w:szCs w:val="28"/>
          <w:lang w:val="en-US"/>
        </w:rPr>
      </w:pPr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5091" w:rsidRDefault="00765091" w:rsidP="0076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5091" w:rsidRPr="00094F81" w:rsidRDefault="00765091" w:rsidP="00765091">
      <w:pPr>
        <w:rPr>
          <w:lang w:val="en-US"/>
        </w:rPr>
      </w:pPr>
    </w:p>
    <w:p w:rsidR="00765091" w:rsidRPr="002A0093" w:rsidRDefault="00765091" w:rsidP="00765091">
      <w:pPr>
        <w:rPr>
          <w:lang w:val="en-US"/>
        </w:rPr>
      </w:pPr>
    </w:p>
    <w:p w:rsidR="00E55227" w:rsidRPr="00765091" w:rsidRDefault="00E55227">
      <w:pPr>
        <w:rPr>
          <w:lang w:val="en-US"/>
        </w:rPr>
      </w:pPr>
    </w:p>
    <w:sectPr w:rsidR="00E55227" w:rsidRPr="00765091" w:rsidSect="002D2A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F"/>
    <w:rsid w:val="00045EAE"/>
    <w:rsid w:val="000F17A0"/>
    <w:rsid w:val="00113B81"/>
    <w:rsid w:val="002D72A1"/>
    <w:rsid w:val="00303DBF"/>
    <w:rsid w:val="00343FB6"/>
    <w:rsid w:val="0037062F"/>
    <w:rsid w:val="003A5BEA"/>
    <w:rsid w:val="004470C1"/>
    <w:rsid w:val="00605699"/>
    <w:rsid w:val="006C5510"/>
    <w:rsid w:val="006D26E2"/>
    <w:rsid w:val="00765091"/>
    <w:rsid w:val="00804D69"/>
    <w:rsid w:val="00951803"/>
    <w:rsid w:val="00A90692"/>
    <w:rsid w:val="00DB553F"/>
    <w:rsid w:val="00E55227"/>
    <w:rsid w:val="00F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91"/>
    <w:pPr>
      <w:spacing w:after="0" w:line="240" w:lineRule="auto"/>
    </w:pPr>
  </w:style>
  <w:style w:type="character" w:customStyle="1" w:styleId="FontStyle12">
    <w:name w:val="Font Style12"/>
    <w:rsid w:val="0076509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76509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5091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91"/>
    <w:pPr>
      <w:spacing w:after="0" w:line="240" w:lineRule="auto"/>
    </w:pPr>
  </w:style>
  <w:style w:type="character" w:customStyle="1" w:styleId="FontStyle12">
    <w:name w:val="Font Style12"/>
    <w:rsid w:val="0076509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76509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5091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Olesea </cp:lastModifiedBy>
  <cp:revision>4</cp:revision>
  <dcterms:created xsi:type="dcterms:W3CDTF">2019-04-17T10:20:00Z</dcterms:created>
  <dcterms:modified xsi:type="dcterms:W3CDTF">2019-04-22T06:39:00Z</dcterms:modified>
</cp:coreProperties>
</file>